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40" w:line="300" w:lineRule="auto"/>
      </w:pPr>
      <w:r>
        <w:rPr>
          <w:rFonts w:ascii="Calibri" w:hAnsi="Calibri"/>
          <w:color w:val="66706A"/>
          <w:sz w:val="17"/>
        </w:rPr>
        <w:t>WEB-CONSENT · версия 2.0 · правовая проверка 07.08.2026</w:t>
      </w:r>
    </w:p>
    <w:p>
      <w:pPr>
        <w:pStyle w:val="Heading1"/>
        <w:keepNext/>
        <w:widowControl/>
      </w:pPr>
      <w:r>
        <w:rPr>
          <w:rFonts w:ascii="Calibri" w:hAnsi="Calibri"/>
          <w:color w:val="17211C"/>
          <w:sz w:val="22"/>
        </w:rPr>
        <w:t>Согласие для формы на сайте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Решение принимается для одной конкретной формы. Если фактическим основанием является преддоговорное обращение, не называйте его согласием; если нужно согласие — оно должно быть отдельным и однозначным.</w:t>
            </w:r>
          </w:p>
        </w:tc>
      </w:tr>
    </w:tbl>
    <w:p>
      <w:pPr>
        <w:spacing w:after="0" w:line="72" w:lineRule="auto"/>
      </w:pPr>
    </w:p>
    <w:p>
      <w:pPr>
        <w:pStyle w:val="Heading1"/>
        <w:widowControl/>
      </w:pPr>
      <w:r>
        <w:rPr>
          <w:rFonts w:ascii="Calibri" w:hAnsi="Calibri"/>
          <w:color w:val="17211C"/>
          <w:sz w:val="22"/>
        </w:rPr>
        <w:t>1. Дерево решения</w:t>
      </w:r>
    </w:p>
    <w:p>
      <w:pPr>
        <w:widowControl/>
        <w:spacing w:after="80" w:line="300" w:lineRule="auto"/>
        <w:numPr>
          <w:ilvl w:val="0"/>
          <w:numId w:val="11"/>
        </w:numPr>
      </w:pPr>
      <w:r>
        <w:rPr>
          <w:rFonts w:ascii="Calibri" w:hAnsi="Calibri"/>
          <w:color w:val="17211C"/>
          <w:sz w:val="22"/>
        </w:rPr>
        <w:t>Опишите цель: ответ, подбор программы или запись.</w:t>
      </w:r>
    </w:p>
    <w:p>
      <w:pPr>
        <w:widowControl/>
        <w:spacing w:after="80" w:line="300" w:lineRule="auto"/>
        <w:numPr>
          <w:ilvl w:val="0"/>
          <w:numId w:val="11"/>
        </w:numPr>
      </w:pPr>
      <w:r>
        <w:rPr>
          <w:rFonts w:ascii="Calibri" w:hAnsi="Calibri"/>
          <w:color w:val="17211C"/>
          <w:sz w:val="22"/>
        </w:rPr>
        <w:t>Определите правовое основание по этой цели; согласие не выбирается «на всякий случай».</w:t>
      </w:r>
    </w:p>
    <w:p>
      <w:pPr>
        <w:widowControl/>
        <w:spacing w:after="80" w:line="300" w:lineRule="auto"/>
        <w:numPr>
          <w:ilvl w:val="0"/>
          <w:numId w:val="11"/>
        </w:numPr>
      </w:pPr>
      <w:r>
        <w:rPr>
          <w:rFonts w:ascii="Calibri" w:hAnsi="Calibri"/>
          <w:color w:val="17211C"/>
          <w:sz w:val="22"/>
        </w:rPr>
        <w:t>Перечислите каждое поле формы и удалите поля, которые не нужны.</w:t>
      </w:r>
    </w:p>
    <w:p>
      <w:pPr>
        <w:widowControl/>
        <w:spacing w:after="80" w:line="300" w:lineRule="auto"/>
        <w:numPr>
          <w:ilvl w:val="0"/>
          <w:numId w:val="11"/>
        </w:numPr>
      </w:pPr>
      <w:r>
        <w:rPr>
          <w:rFonts w:ascii="Calibri" w:hAnsi="Calibri"/>
          <w:color w:val="17211C"/>
          <w:sz w:val="22"/>
        </w:rPr>
        <w:t>Если есть реклама или публичное распространение, добавьте отдельный выбор и отдельный текст.</w:t>
      </w:r>
    </w:p>
    <w:p>
      <w:pPr>
        <w:pStyle w:val="Heading1"/>
        <w:widowControl/>
      </w:pPr>
      <w:r>
        <w:rPr>
          <w:rFonts w:ascii="Calibri" w:hAnsi="Calibri"/>
          <w:color w:val="17211C"/>
          <w:sz w:val="22"/>
        </w:rPr>
        <w:t>2. Короткий отдельный текст рядом с формой</w:t>
      </w:r>
    </w:p>
    <w:p>
      <w:pPr>
        <w:widowControl/>
        <w:spacing w:after="120" w:line="300" w:lineRule="auto"/>
      </w:pPr>
      <w:r>
        <w:rPr>
          <w:rFonts w:ascii="Calibri" w:hAnsi="Calibri"/>
          <w:color w:val="17211C"/>
          <w:sz w:val="22"/>
        </w:rPr>
        <w:t>☐ Я даю [ОПЕРАТОРУ: НАИМЕНОВАНИЕ И РЕКВИЗИТЫ] согласие на обработку введённых в эту форму данных: [ИМЯ, ТЕЛЕФОН, EMAIL, ИНЫЕ ПОЛЯ] — только для цели: [ОТВЕТИТЬ/ПОДОБРАТЬ/ЗАПИСАТЬ]. Полный текст согласия и политика доступны по адресу [URL ПОЛИТИКИ].</w:t>
      </w: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3. Параметры формы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Название и адрес страницы:</w:t>
            </w:r>
            <w:r>
              <w:rPr>
                <w:rFonts w:ascii="Calibri" w:hAnsi="Calibri"/>
                <w:sz w:val="20"/>
              </w:rPr>
              <w:t xml:space="preserve"> [НАЗВАНИЕ, URL]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Цель и основание:</w:t>
            </w:r>
            <w:r>
              <w:rPr>
                <w:rFonts w:ascii="Calibri" w:hAnsi="Calibri"/>
                <w:sz w:val="20"/>
              </w:rPr>
              <w:t xml:space="preserve"> [КОНКРЕТНАЯ ПАРА]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Поля:</w:t>
            </w:r>
            <w:r>
              <w:rPr>
                <w:rFonts w:ascii="Calibri" w:hAnsi="Calibri"/>
                <w:sz w:val="20"/>
              </w:rPr>
              <w:t xml:space="preserve"> [ПОЛНЫЙ ПЕРЕЧЕНЬ]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Обработчики:</w:t>
            </w:r>
            <w:r>
              <w:rPr>
                <w:rFonts w:ascii="Calibri" w:hAnsi="Calibri"/>
                <w:sz w:val="20"/>
              </w:rPr>
              <w:t xml:space="preserve"> [НАЗВАНИЯ И ЦЕЛИ ИЛИ «НЕТ»]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Срок/событие прекращения:</w:t>
            </w:r>
            <w:r>
              <w:rPr>
                <w:rFonts w:ascii="Calibri" w:hAnsi="Calibri"/>
                <w:sz w:val="20"/>
              </w:rPr>
              <w:t xml:space="preserve"> [СРОК]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Отзыв:</w:t>
            </w:r>
            <w:r>
              <w:rPr>
                <w:rFonts w:ascii="Calibri" w:hAnsi="Calibri"/>
                <w:sz w:val="20"/>
              </w:rPr>
              <w:t xml:space="preserve"> [EMAIL/АДРЕС]</w:t>
            </w:r>
          </w:p>
        </w:tc>
      </w:tr>
    </w:tbl>
    <w:p>
      <w:pPr>
        <w:pStyle w:val="Heading1"/>
        <w:widowControl/>
      </w:pPr>
      <w:r>
        <w:rPr>
          <w:rFonts w:ascii="Calibri" w:hAnsi="Calibri"/>
          <w:color w:val="17211C"/>
          <w:sz w:val="22"/>
        </w:rPr>
        <w:t>4. Технический чек-лист доказательства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Чекбокс по умолчанию пустой.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Короткий текст и полный текст доступны до отправки.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Зафиксированы код формы, версия и дата правовой проверки.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В журнале сохраняются дата/время, событие, версия текста, источник и идентификатор записи.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Исправление текста проходит через журнал версий и не меняет старое доказательство.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Отзыв принимается отдельным каналом и связывается с записью формы.</w:t>
      </w:r>
    </w:p>
    <w:p>
      <w:pPr>
        <w:pStyle w:val="Heading1"/>
        <w:widowControl/>
      </w:pPr>
      <w:r>
        <w:rPr>
          <w:rFonts w:ascii="Calibri" w:hAnsi="Calibri"/>
          <w:color w:val="17211C"/>
          <w:sz w:val="22"/>
        </w:rPr>
        <w:t>5. Если центр отправляет рекламу</w:t>
      </w:r>
    </w:p>
    <w:p>
      <w:pPr>
        <w:widowControl/>
        <w:spacing w:after="120" w:line="300" w:lineRule="auto"/>
      </w:pPr>
      <w:r>
        <w:rPr>
          <w:rFonts w:ascii="Calibri" w:hAnsi="Calibri"/>
          <w:color w:val="17211C"/>
          <w:sz w:val="22"/>
        </w:rPr>
        <w:t>Реклама требует отдельного непредустановленного выбора и отдельного текста с каналами, видами сообщений, сроком и отказом. Сервисное сообщение по уже выбранной услуге не смешивается с рекламой.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Владелец формы: [ФИО, ДОЛЖНОСТЬ]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Код и версия: WEB-CONSENT / 2.0 / 07.08.2026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Дата проверки внедрения: [ДАТА]</w:t>
            </w:r>
          </w:p>
        </w:tc>
      </w:tr>
    </w:tbl>
    <w:p>
      <w:pPr>
        <w:pStyle w:val="Heading2"/>
        <w:widowControl/>
      </w:pPr>
      <w:r>
        <w:rPr>
          <w:rFonts w:ascii="Calibri" w:hAnsi="Calibri"/>
          <w:color w:val="17211C"/>
          <w:sz w:val="22"/>
        </w:rPr>
        <w:t>Перед использованием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Описать фактическую форму и поля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Настроить непредустановленный чекбокс и доступный полный текст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Сохранить техническое доказательство версии, даты и времени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Не заменяет: Заранее отмеченный чекбокс, отправка кнопкой без отдельного подтверждения, фото и реклама в одном выборе.</w:t>
            </w:r>
          </w:p>
        </w:tc>
      </w:tr>
    </w:tbl>
    <w:p>
      <w:pPr>
        <w:spacing w:after="0" w:line="72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Красный флаг: Кнопка отправки или один заранее включённый флажок объявлены универсальным согласием на все процессы.</w:t>
            </w:r>
          </w:p>
        </w:tc>
      </w:tr>
    </w:tbl>
    <w:p>
      <w:pPr>
        <w:spacing w:after="0" w:line="72" w:lineRule="auto"/>
      </w:pPr>
    </w:p>
    <w:p>
      <w:pPr>
        <w:pStyle w:val="Heading2"/>
        <w:keepNext/>
        <w:widowControl/>
      </w:pPr>
      <w:r>
        <w:rPr>
          <w:rFonts w:ascii="Calibri" w:hAnsi="Calibri"/>
          <w:color w:val="17211C"/>
          <w:sz w:val="22"/>
        </w:rPr>
        <w:t>Опорные источники</w:t>
      </w:r>
    </w:p>
    <w:p>
      <w:pPr>
        <w:keepNext/>
        <w:keepLines/>
        <w:spacing w:after="20" w:line="240" w:lineRule="auto"/>
      </w:pPr>
      <w:hyperlink r:id="rId9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9 152-ФЗ — требования к согласию</w:t>
        </w:r>
      </w:hyperlink>
    </w:p>
    <w:p>
      <w:pPr>
        <w:keepNext/>
        <w:keepLines/>
        <w:spacing w:after="20" w:line="240" w:lineRule="auto"/>
      </w:pPr>
      <w:hyperlink r:id="rId10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156-ФЗ — отдельное оформление согласия</w:t>
        </w:r>
      </w:hyperlink>
    </w:p>
    <w:p>
      <w:pPr>
        <w:keepNext w:val="0"/>
        <w:keepLines/>
        <w:spacing w:after="20" w:line="240" w:lineRule="auto"/>
      </w:pPr>
      <w:hyperlink r:id="rId11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152-ФЗ — консолидированная редакция</w:t>
        </w:r>
      </w:hyperlink>
    </w:p>
    <w:sectPr w:rsidR="00FC693F" w:rsidRPr="0006063C" w:rsidSect="00034616">
      <w:footerReference w:type="default" r:id="rId12"/>
      <w:pgSz w:w="11906" w:h="16838"/>
      <w:pgMar w:top="1020" w:right="1276" w:bottom="1020" w:left="1276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left"/>
    </w:pPr>
    <w:r>
      <w:rPr>
        <w:rFonts w:ascii="Calibri" w:hAnsi="Calibri"/>
        <w:color w:val="66706A"/>
        <w:sz w:val="16"/>
      </w:rPr>
      <w:t xml:space="preserve">Аирхоп · Legal Kit v2.0 · проверено 07.08.2026 · </w:t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0">
    <w:abstractNumId w:val="9"/>
  </w:num>
  <w:abstractNum w:abstractNumId="10"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doNotTrackRevisions w:val="true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300" w:lineRule="auto"/>
    </w:pPr>
    <w:rPr>
      <w:rFonts w:ascii="Calibri" w:hAnsi="Calibri" w:eastAsia="Calibri" w:cs="Calibri"/>
      <w:b w:val="0"/>
      <w:color w:val="17211C"/>
      <w:sz w:val="22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32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26"/>
      <w:szCs w:val="26"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Calibri" w:cs="Calibri"/>
      <w:b/>
      <w:bCs/>
      <w:color w:val="1F4D78"/>
      <w:sz w:val="24"/>
      <w:lang w:val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consultant.ru/document/cons_doc_LAW_61801/591acc70f577873c1ee54765eda110b7a0271eaf/" TargetMode="External"/><Relationship Id="rId10" Type="http://schemas.openxmlformats.org/officeDocument/2006/relationships/hyperlink" Target="https://publication.pravo.gov.ru/document/0001202506240021" TargetMode="External"/><Relationship Id="rId11" Type="http://schemas.openxmlformats.org/officeDocument/2006/relationships/hyperlink" Target="https://normativ.kontur.ru/document?documentId=507366&amp;moduleId=1" TargetMode="Externa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для формы на сайте</dc:title>
  <dc:subject>Адаптируемый шаблон для детского кружка и других форматов детских занятий</dc:subject>
  <dc:creator>Airhop</dc:creator>
  <cp:keywords>legal kit, personal data, children activities, детский кружок</cp:keywords>
  <dc:description/>
  <cp:lastModifiedBy>Airhop</cp:lastModifiedBy>
  <cp:revision>1</cp:revision>
  <dcterms:created xsi:type="dcterms:W3CDTF">2026-08-07T00:00:00Z</dcterms:created>
  <dcterms:modified xsi:type="dcterms:W3CDTF">2026-08-07T00:00:00Z</dcterms:modified>
  <cp:category>Legal Kit v2</cp:category>
</cp:coreProperties>
</file>