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PD-POLICY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Политика обработки персональных данных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Редакция 2.0 от 07.08.2026. Политика должна описывать только те процессы, которые действительно выполняет [НАИМЕНОВАНИЕ ОПЕРАТОРА]. Неприменимые строки удалите.</w:t>
            </w:r>
          </w:p>
        </w:tc>
      </w:tr>
    </w:tbl>
    <w:p>
      <w:pPr>
        <w:spacing w:after="0" w:line="72" w:lineRule="auto"/>
      </w:pP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1. Оператор и контакты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Оператор:</w:t>
            </w:r>
            <w:r>
              <w:rPr>
                <w:rFonts w:ascii="Calibri" w:hAnsi="Calibri"/>
                <w:sz w:val="20"/>
              </w:rPr>
              <w:t xml:space="preserve"> [ПОЛНОЕ НАИМЕНОВАНИЕ ООО ИЛИ ФИО ИП]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ИНН/ОГРН или ОГРНИП:</w:t>
            </w:r>
            <w:r>
              <w:rPr>
                <w:rFonts w:ascii="Calibri" w:hAnsi="Calibri"/>
                <w:sz w:val="20"/>
              </w:rPr>
              <w:t xml:space="preserve"> [РЕКВИЗИТЫ]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Адрес:</w:t>
            </w:r>
            <w:r>
              <w:rPr>
                <w:rFonts w:ascii="Calibri" w:hAnsi="Calibri"/>
                <w:sz w:val="20"/>
              </w:rPr>
              <w:t xml:space="preserve"> [АДРЕС ОПЕРАТОРА]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Email для обращений:</w:t>
            </w:r>
            <w:r>
              <w:rPr>
                <w:rFonts w:ascii="Calibri" w:hAnsi="Calibri"/>
                <w:sz w:val="20"/>
              </w:rPr>
              <w:t xml:space="preserve"> [EMAIL]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Сайт и страница политики:</w:t>
            </w:r>
            <w:r>
              <w:rPr>
                <w:rFonts w:ascii="Calibri" w:hAnsi="Calibri"/>
                <w:sz w:val="20"/>
              </w:rPr>
              <w:t xml:space="preserve"> [САЙТ И URL ПОЛИТИКИ]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Ответственный за организацию обработки:</w:t>
            </w:r>
            <w:r>
              <w:rPr>
                <w:rFonts w:ascii="Calibri" w:hAnsi="Calibri"/>
                <w:sz w:val="20"/>
              </w:rPr>
              <w:t xml:space="preserve"> [ФИО И ДОЛЖНОСТЬ]</w:t>
            </w:r>
          </w:p>
        </w:tc>
      </w:tr>
    </w:tbl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2. Область действия и принципы</w:t>
      </w:r>
    </w:p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Политика распространяется на данные посетителей сайта, родителей, законных представителей, детей, работников и иных лиц, которые взаимодействуют с центром. Оператор обрабатывает данные законно и справедливо, заранее определяет цель, ограничивает состав данных необходимым объёмом, поддерживает точность и прекращает обработку после достижения цели либо при наступлении иного законного условия.</w:t>
      </w:r>
    </w:p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3. Цели, субъекты, данные и основания</w:t>
      </w:r>
    </w:p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Для каждой строки оператор выбирает фактическое основание. Согласие не подставляется автоматически: обращение до договора, договор, обязанность по закону и согласие могут быть разными основаниями. Если процесс отсутствует, строку удаляют.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Матрица обработки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antSplit/>
          <w:tblHeader w:val="true"/>
        </w:trPr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Цель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Субъекты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Данные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Основание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Действия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Срок/условие</w:t>
            </w:r>
          </w:p>
        </w:tc>
      </w:tr>
      <w:tr>
        <w:trPr>
          <w:cantSplit/>
          <w:cantSplit/>
        </w:trPr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Заявка и обратная связь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Родитель/посетитель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Имя, телефон, email, текст обращения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[СОГЛАСИЕ ИЛИ ПРЕДДОГОВОРНОЕ ОБРАЩЕНИЕ]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Сбор, запись, хранение, ответ, удаление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[СРОК ПОСЛЕ ОТВЕТА]</w:t>
            </w:r>
          </w:p>
        </w:tc>
      </w:tr>
      <w:tr>
        <w:trPr>
          <w:cantSplit/>
          <w:cantSplit/>
        </w:trPr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Оказание выбранной услуги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Родитель, ребёнок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Имя, возрастная группа, расписание, посещения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[ДОГОВОР ИЛИ СОГЛАСИЕ]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Организация, учёт, связь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[СРОК ДОКУМЕНТА ИЛИ УСЛУГИ]</w:t>
            </w:r>
          </w:p>
        </w:tc>
      </w:tr>
      <w:tr>
        <w:trPr>
          <w:cantSplit/>
          <w:cantSplit/>
        </w:trPr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Расчёты и обязательные документы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Плательщик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Реквизиты и платёжные сведения в нужном объёме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[ЗАКОН ИЛИ ДОГОВОР]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Хранение, учёт, предоставление по закону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[СРОК ПО ЗАКОНУ]</w:t>
            </w:r>
          </w:p>
        </w:tc>
      </w:tr>
      <w:tr>
        <w:trPr>
          <w:cantSplit/>
          <w:cantSplit/>
        </w:trPr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Реклама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Родитель/адресат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Контакт и выбранный канал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Отдельное предварительное согласие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Рассылка, учёт отказа, прекращение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До отзыва или [СРОК]</w:t>
            </w:r>
          </w:p>
        </w:tc>
      </w:tr>
      <w:tr>
        <w:trPr>
          <w:cantSplit/>
          <w:cantSplit/>
        </w:trPr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Изображение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Ребёнок/родитель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Фото, видео, голос — только выбранное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[СОГЛАСИЕ/152.1 ГК РФ]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Съёмка и ограниченное использование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[СОБЫТИЕ И СРОК]</w:t>
            </w:r>
          </w:p>
        </w:tc>
      </w:tr>
      <w:tr>
        <w:trPr>
          <w:cantSplit/>
          <w:cantSplit/>
        </w:trPr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Сайт и технические данные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Посетитель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[ТОЧНЫЙ ПЕРЕЧЕНЬ И СЕРВИСЫ]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[ОСНОВАНИЕ ПО КАЖДОМУ ПРОЦЕССУ]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[ФАКТИЧЕСКИЕ ДЕЙСТВИЯ]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[СРОК/ТРИГГЕР]</w:t>
            </w:r>
          </w:p>
        </w:tc>
      </w:tr>
      <w:tr>
        <w:trPr>
          <w:cantSplit/>
          <w:cantSplit/>
        </w:trPr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Специальные данные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Ребёнок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Только выбранная информация о здоровье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Только при доказанной необходимости и отдельном основании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Минимальный доступ, хранение, удаление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[СРОК/УСЛОВИЕ]</w:t>
            </w:r>
          </w:p>
        </w:tc>
      </w:tr>
      <w:tr>
        <w:trPr>
          <w:cantSplit/>
          <w:cantSplit/>
        </w:trPr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Внутренний контроль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Субъект и представитель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ID записи, версия, даты, статус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Законный интерес/обязанность/иное применимое основание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Реестр, блокирование, уничтожение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[СРОК ДОКАЗАТЕЛЬСТВА]</w:t>
            </w:r>
          </w:p>
        </w:tc>
      </w:tr>
    </w:tbl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4. Специальные категории, изображение и распространение</w:t>
      </w:r>
    </w:p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Сведения о здоровье относятся к специальным категориям. Центр не собирает медицинскую историю «на всякий случай» и не включает её в обычное согласие. Фото не объявляется биометрическими данными автоматически: квалификация зависит от цели и способа обработки. Открытый сайт, социальная сеть, рекламный материал и иной ресурс для неопределённого круга лиц требуют отдельного решения о распространении и отдельного согласия по применимому режиму.</w:t>
      </w:r>
    </w:p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5. Источники, системы, обработчики и локализация</w:t>
      </w:r>
    </w:p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Источники данных: [САЙТ/РОДИТЕЛЬ/РАБОТНИК/ИНОЙ ИСТОЧНИК]. Системы и носители: [CRM], [ХОСТИНГ], [ОБЛАКО], [БУМАЖНЫЙ АРХИВ] — перечислить только фактические. Для каждого обработчика фиксируются цель, перечень данных, действия, конфиденциальность, требования к локализации и безопасности, уведомление об инциденте, возврат или уничтожение. Первичный сбор данных граждан РФ через интернет организуется с использованием баз данных в РФ; трансграничная передача проверяется отдельно и не начинается до выполнения применимых уведомлений и условий.</w:t>
      </w:r>
    </w:p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6. Хранение, безопасность и инциденты</w:t>
      </w:r>
    </w:p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Срок хранения: [СРОК ИЛИ СОБЫТИЕ] по каждой цели. После прекращения цели данные удаляются, обезличиваются или сохраняются на другом законном основании; резервные копии обрабатываются отдельным правилом. Доступ ограничивается ролями, учётными записями и [MFA/ИНОЙ ФАКТИЧЕСКОЙ МЕРОЙ]. При инциденте ответственный фиксирует обнаружение, меры и доказательства, контролирует первичное уведомление в течение 24 часов и результат внутреннего расследования в течение 72 часов.</w:t>
      </w:r>
    </w:p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7. Права субъекта и обращения</w:t>
      </w:r>
    </w:p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Субъект или представитель может запросить сведения об обработке, исправление, блокирование, прекращение или уничтожение при наличии оснований, а также отозвать согласие. Для проверки личности указываются только необходимые сведения. Запрос направляется на [EMAIL/ПОЧТОВЫЙ АДРЕС]. Контрольные сроки зависят от вида требования: 10 рабочих дней с возможным мотивированным продлением не более чем на 5 рабочих дней, 7 рабочих дней для исправления подтверждённой неточности или уничтожения незаконно полученных/ненужных данных, а также иные сроки статьи 21 по фактическому основанию.</w:t>
      </w:r>
    </w:p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8. Публикация и обновление</w:t>
      </w:r>
    </w:p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Дата начала действия: [ДАТА]. Ответственный проверяет соответствие политики формам, страницам сбора, реестрам и сервисам не реже [ПЕРИОД]. При изменении целей, систем, страны хранения или правового основания выпускается новая версия, а доказательства согласий связываются с кодом и версией формы.</w:t>
      </w:r>
    </w:p>
    <w:p>
      <w:pPr>
        <w:pStyle w:val="Heading2"/>
        <w:widowControl/>
      </w:pPr>
      <w:r>
        <w:rPr>
          <w:rFonts w:ascii="Calibri" w:hAnsi="Calibri"/>
          <w:color w:val="17211C"/>
          <w:sz w:val="22"/>
        </w:rPr>
        <w:t>Перед использованием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Заполнить реквизиты оператора и канал обращений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Оставить только фактические цели, сервисы, категории данных и сроки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Проверить публикацию новой версии на каждой странице сбора данных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Не заменяет: Договор, оферта, медицинская документация, кадровые правила и индивидуальная оценка конкретного сервиса.</w:t>
            </w:r>
          </w:p>
        </w:tc>
      </w:tr>
    </w:tbl>
    <w:p>
      <w:pPr>
        <w:spacing w:after="0" w:line="72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Красный флаг: Чужая политика перечисляет несуществующие CRM, cookie, аналитику, медицинские процессы или сроки хранения.</w:t>
            </w:r>
          </w:p>
        </w:tc>
      </w:tr>
    </w:tbl>
    <w:p>
      <w:pPr>
        <w:spacing w:after="0" w:line="72" w:lineRule="auto"/>
      </w:pPr>
    </w:p>
    <w:p>
      <w:pPr>
        <w:pStyle w:val="Heading2"/>
        <w:keepNext/>
        <w:widowControl/>
      </w:pPr>
      <w:r>
        <w:rPr>
          <w:rFonts w:ascii="Calibri" w:hAnsi="Calibri"/>
          <w:color w:val="17211C"/>
          <w:sz w:val="22"/>
        </w:rPr>
        <w:t>Опорные источники</w:t>
      </w:r>
    </w:p>
    <w:p>
      <w:pPr>
        <w:keepNext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152-ФЗ — консолидированная редакция на 07.08.2026</w:t>
        </w:r>
      </w:hyperlink>
    </w:p>
    <w:p>
      <w:pPr>
        <w:keepNext/>
        <w:keepLines/>
        <w:spacing w:after="20" w:line="240" w:lineRule="auto"/>
      </w:pPr>
      <w:hyperlink r:id="rId10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265-ФЗ — изменение статьи 12 152-ФЗ</w:t>
        </w:r>
      </w:hyperlink>
    </w:p>
    <w:p>
      <w:pPr>
        <w:keepNext/>
        <w:keepLines/>
        <w:spacing w:after="20" w:line="240" w:lineRule="auto"/>
      </w:pPr>
      <w:hyperlink r:id="rId11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156-ФЗ — отдельность согласия с 01.09.2025</w:t>
        </w:r>
      </w:hyperlink>
    </w:p>
    <w:p>
      <w:pPr>
        <w:keepNext/>
        <w:keepLines/>
        <w:spacing w:after="20" w:line="240" w:lineRule="auto"/>
      </w:pPr>
      <w:hyperlink r:id="rId12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10.1 152-ФЗ — распространение</w:t>
        </w:r>
      </w:hyperlink>
    </w:p>
    <w:p>
      <w:pPr>
        <w:keepNext/>
        <w:keepLines/>
        <w:spacing w:after="20" w:line="240" w:lineRule="auto"/>
      </w:pPr>
      <w:hyperlink r:id="rId13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Приказ Роскомнадзора № 18 — согласие на распространение</w:t>
        </w:r>
      </w:hyperlink>
      <w:r>
        <w:rPr>
          <w:rFonts w:ascii="Calibri" w:hAnsi="Calibri"/>
          <w:color w:val="66706A"/>
          <w:sz w:val="16"/>
        </w:rPr>
        <w:t xml:space="preserve"> · действует до 2027-09-01</w:t>
      </w:r>
    </w:p>
    <w:p>
      <w:pPr>
        <w:keepNext/>
        <w:keepLines/>
        <w:spacing w:after="20" w:line="240" w:lineRule="auto"/>
      </w:pPr>
      <w:hyperlink r:id="rId14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Приказ Роскомнадзора № 179 — уничтожение данных</w:t>
        </w:r>
      </w:hyperlink>
      <w:r>
        <w:rPr>
          <w:rFonts w:ascii="Calibri" w:hAnsi="Calibri"/>
          <w:color w:val="66706A"/>
          <w:sz w:val="16"/>
        </w:rPr>
        <w:t xml:space="preserve"> · действует до 2029-03-01</w:t>
      </w:r>
    </w:p>
    <w:p>
      <w:pPr>
        <w:keepNext/>
        <w:keepLines/>
        <w:spacing w:after="20" w:line="240" w:lineRule="auto"/>
      </w:pPr>
      <w:hyperlink r:id="rId15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Приказ Роскомнадзора № 180 — формы уведомлений</w:t>
        </w:r>
      </w:hyperlink>
    </w:p>
    <w:p>
      <w:pPr>
        <w:keepNext/>
        <w:keepLines/>
        <w:spacing w:after="20" w:line="240" w:lineRule="auto"/>
      </w:pPr>
      <w:hyperlink r:id="rId16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Портал уведомлений Роскомнадзора</w:t>
        </w:r>
      </w:hyperlink>
    </w:p>
    <w:p>
      <w:pPr>
        <w:keepNext/>
        <w:keepLines/>
        <w:spacing w:after="20" w:line="240" w:lineRule="auto"/>
      </w:pPr>
      <w:hyperlink r:id="rId17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152.1 ГК РФ — охрана изображения</w:t>
        </w:r>
      </w:hyperlink>
    </w:p>
    <w:p>
      <w:pPr>
        <w:keepNext/>
        <w:keepLines/>
        <w:spacing w:after="20" w:line="240" w:lineRule="auto"/>
      </w:pPr>
      <w:hyperlink r:id="rId18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18 закона о рекламе</w:t>
        </w:r>
      </w:hyperlink>
    </w:p>
    <w:p>
      <w:pPr>
        <w:keepNext/>
        <w:keepLines/>
        <w:spacing w:after="20" w:line="240" w:lineRule="auto"/>
      </w:pPr>
      <w:hyperlink r:id="rId1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63 Семейного кодекса РФ</w:t>
        </w:r>
      </w:hyperlink>
    </w:p>
    <w:p>
      <w:pPr>
        <w:keepNext/>
        <w:keepLines/>
        <w:spacing w:after="20" w:line="240" w:lineRule="auto"/>
      </w:pPr>
      <w:hyperlink r:id="rId20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7 закона о защите прав потребителей</w:t>
        </w:r>
      </w:hyperlink>
    </w:p>
    <w:p>
      <w:pPr>
        <w:keepNext/>
        <w:keepLines/>
        <w:spacing w:after="20" w:line="240" w:lineRule="auto"/>
      </w:pPr>
      <w:hyperlink r:id="rId21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28 закона об образовании — условно</w:t>
        </w:r>
      </w:hyperlink>
    </w:p>
    <w:p>
      <w:pPr>
        <w:keepNext/>
        <w:keepLines/>
        <w:spacing w:after="20" w:line="240" w:lineRule="auto"/>
      </w:pPr>
      <w:hyperlink r:id="rId22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Правила перевозки детей № 1527 до 31.08.2026</w:t>
        </w:r>
      </w:hyperlink>
      <w:r>
        <w:rPr>
          <w:rFonts w:ascii="Calibri" w:hAnsi="Calibri"/>
          <w:color w:val="66706A"/>
          <w:sz w:val="16"/>
        </w:rPr>
        <w:t xml:space="preserve"> · действует до 2026-08-31</w:t>
      </w:r>
    </w:p>
    <w:p>
      <w:pPr>
        <w:keepNext w:val="0"/>
        <w:keepLines/>
        <w:spacing w:after="20" w:line="240" w:lineRule="auto"/>
      </w:pPr>
      <w:hyperlink r:id="rId23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Правила перевозки детей № 680 с 01.09.2026</w:t>
        </w:r>
      </w:hyperlink>
    </w:p>
    <w:sectPr w:rsidR="00FC693F" w:rsidRPr="0006063C" w:rsidSect="00034616">
      <w:footerReference w:type="default" r:id="rId24"/>
      <w:pgSz w:w="11906" w:h="16838"/>
      <w:pgMar w:top="1020" w:right="1276" w:bottom="1020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Calibri" w:hAnsi="Calibri"/>
        <w:color w:val="66706A"/>
        <w:sz w:val="16"/>
      </w:rPr>
      <w:t xml:space="preserve">Аирхоп · Legal Kit v2.0 · проверено 07.08.2026 ·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NotTrackRevision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 w:eastAsia="Calibri" w:cs="Calibri"/>
      <w:b w:val="0"/>
      <w:color w:val="17211C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normativ.kontur.ru/document?documentId=507366&amp;moduleId=1" TargetMode="External"/><Relationship Id="rId10" Type="http://schemas.openxmlformats.org/officeDocument/2006/relationships/hyperlink" Target="https://www.consultant.ru/document/cons_doc_LAW_540340/" TargetMode="External"/><Relationship Id="rId11" Type="http://schemas.openxmlformats.org/officeDocument/2006/relationships/hyperlink" Target="https://publication.pravo.gov.ru/document/0001202506240021" TargetMode="External"/><Relationship Id="rId12" Type="http://schemas.openxmlformats.org/officeDocument/2006/relationships/hyperlink" Target="https://www.consultant.ru/document/cons_doc_LAW_61801/591acc70f577873c1ee54765eda110b7a0271eaf/" TargetMode="External"/><Relationship Id="rId13" Type="http://schemas.openxmlformats.org/officeDocument/2006/relationships/hyperlink" Target="https://publication.pravo.gov.ru/document/0001202104210039" TargetMode="External"/><Relationship Id="rId14" Type="http://schemas.openxmlformats.org/officeDocument/2006/relationships/hyperlink" Target="https://publication.pravo.gov.ru/Document/View/0001202211290008" TargetMode="External"/><Relationship Id="rId15" Type="http://schemas.openxmlformats.org/officeDocument/2006/relationships/hyperlink" Target="https://publication.pravo.gov.ru/document/0001202212150022" TargetMode="External"/><Relationship Id="rId16" Type="http://schemas.openxmlformats.org/officeDocument/2006/relationships/hyperlink" Target="https://pd.rkn.gov.ru/operators-registry/notification/form/" TargetMode="External"/><Relationship Id="rId17" Type="http://schemas.openxmlformats.org/officeDocument/2006/relationships/hyperlink" Target="https://www.consultant.ru/document/cons_doc_LAW_5142/14c6c3902cffa17ab26d330b2fd4fae28e5cd059/" TargetMode="External"/><Relationship Id="rId18" Type="http://schemas.openxmlformats.org/officeDocument/2006/relationships/hyperlink" Target="https://www.consultant.ru/document/cons_doc_LAW_58968/f892dec1383709792452f18d36e7043306e2be0a/" TargetMode="External"/><Relationship Id="rId19" Type="http://schemas.openxmlformats.org/officeDocument/2006/relationships/hyperlink" Target="https://www.consultant.ru/document/cons_doc_LAW_8982/6ef44561bc44714ff21426ceca1e8390b9e970cf/" TargetMode="External"/><Relationship Id="rId20" Type="http://schemas.openxmlformats.org/officeDocument/2006/relationships/hyperlink" Target="https://www.consultant.ru/document/cons_doc_LAW_305/0b3cc6d567f2c728bfe4c61b25a2bd8f1c0297c7/" TargetMode="External"/><Relationship Id="rId21" Type="http://schemas.openxmlformats.org/officeDocument/2006/relationships/hyperlink" Target="https://base.garant.ru/70291362/53070549816cbd8f006da724de818c2e/" TargetMode="External"/><Relationship Id="rId22" Type="http://schemas.openxmlformats.org/officeDocument/2006/relationships/hyperlink" Target="https://www.consultant.ru/document/cons_doc_LAW_363359/" TargetMode="External"/><Relationship Id="rId23" Type="http://schemas.openxmlformats.org/officeDocument/2006/relationships/hyperlink" Target="https://normativ.kontur.ru/document?documentId=506384&amp;moduleId=1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обработки персональных данных</dc:title>
  <dc:subject>Адаптируемый шаблон для детского кружка и других форматов детских занятий</dc:subject>
  <dc:creator>Airhop</dc:creator>
  <cp:keywords>legal kit, personal data, children activities, детский кружок</cp:keywords>
  <dc:description/>
  <cp:lastModifiedBy>Airhop</cp:lastModifiedBy>
  <cp:revision>1</cp:revision>
  <dcterms:created xsi:type="dcterms:W3CDTF">2026-08-07T00:00:00Z</dcterms:created>
  <dcterms:modified xsi:type="dcterms:W3CDTF">2026-08-07T00:00:00Z</dcterms:modified>
  <cp:category>Legal Kit v2</cp:category>
</cp:coreProperties>
</file>