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PD-DISTRIBUTION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Согласие на распространение персональных данных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Каждый ресурс, категория, элемент и условие выбираются отдельно. Молчание, пустое поле и общая подпись не превращаются в разрешение на весь список.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Субъект и оператор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Субъект:</w:t>
            </w:r>
            <w:r>
              <w:rPr>
                <w:rFonts w:ascii="Calibri" w:hAnsi="Calibri"/>
                <w:sz w:val="20"/>
              </w:rPr>
              <w:t xml:space="preserve"> [ФИО И КОНТАКТ]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Если субъект — ребёнок:</w:t>
            </w:r>
            <w:r>
              <w:rPr>
                <w:rFonts w:ascii="Calibri" w:hAnsi="Calibri"/>
                <w:sz w:val="20"/>
              </w:rPr>
              <w:t xml:space="preserve"> [ФИО РЕБЁНКА, ФИО И СТАТУС ПРЕДСТАВИТЕЛЯ, ПОЛНОМОЧИЯ]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Оператор:</w:t>
            </w:r>
            <w:r>
              <w:rPr>
                <w:rFonts w:ascii="Calibri" w:hAnsi="Calibri"/>
                <w:sz w:val="20"/>
              </w:rPr>
              <w:t xml:space="preserve"> [ООО: НАИМЕНОВАНИЕ И АДРЕС / ИП: ФИО, ОГРНИП И АДРЕС / ИНОЙ ФАКТИЧЕСКИЙ ВАРИАНТ]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Цель распространения:</w:t>
            </w:r>
            <w:r>
              <w:rPr>
                <w:rFonts w:ascii="Calibri" w:hAnsi="Calibri"/>
                <w:sz w:val="20"/>
              </w:rPr>
              <w:t xml:space="preserve"> [КОНКРЕТНАЯ ЦЕЛЬ]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Информационные ресурсы:</w:t>
            </w:r>
            <w:r>
              <w:rPr>
                <w:rFonts w:ascii="Calibri" w:hAnsi="Calibri"/>
                <w:sz w:val="20"/>
              </w:rPr>
              <w:t xml:space="preserve"> [ТОЧНОЕ НАЗВАНИЕ И КАЖДЫЙ URL]</w:t>
            </w:r>
          </w:p>
        </w:tc>
      </w:tr>
    </w:tbl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Категории и перечень данных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Обычные данные: [ИМЯ, ВОЗРАСТНАЯ ГРУППА, ИЗОБРАЖЕНИЕ И ИНОЕ — КАЖДЫЙ ЭЛЕМЕНТ].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Специальные данные: [ТОЧНО УКАЗАТЬ ИЛИ «НЕ РАЗРЕШАЮ»].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Биометрические данные: [ТОЧНО УКАЗАТЬ ИЛИ «НЕ РАЗРЕШАЮ»].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Изображение/голос: [ФОРМАТ, МАТЕРИАЛ, ЦЕЛЬ].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Разрешение по элементам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rPr>
          <w:cantSplit/>
          <w:tblHeader w:val="true"/>
        </w:trPr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Элемент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Ресурс и URL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Разрешить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Условие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Запрет</w:t>
            </w:r>
          </w:p>
        </w:tc>
      </w:tr>
      <w:tr>
        <w:trPr>
          <w:cantSplit/>
          <w:cantSplit/>
        </w:trPr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[ИМЯ/ФОТО/ВИДЕО/ГОЛОС]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[URL]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☐ Да  ☐ Нет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[НАПРИМЕР: БЕЗ ФАМИЛИИ]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[ПЕРЕЧЕНЬ]</w:t>
            </w:r>
          </w:p>
        </w:tc>
      </w:tr>
      <w:tr>
        <w:trPr>
          <w:cantSplit/>
          <w:cantSplit/>
        </w:trPr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[ДРУГОЙ ЭЛЕМЕНТ]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[URL]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☐ Да  ☐ Нет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[УСЛОВИЕ]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[ЗАПРЕТ]</w:t>
            </w:r>
          </w:p>
        </w:tc>
      </w:tr>
    </w:tbl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Способ передачи, срок и прекращение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Только во внутренней сети с определённым кругом доступа.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Через информационно-телекоммуникационные сети на названных ресурсах.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Не разрешаю передачу по сети.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Срок действия:</w:t>
            </w:r>
            <w:r>
              <w:rPr>
                <w:rFonts w:ascii="Calibri" w:hAnsi="Calibri"/>
                <w:sz w:val="20"/>
              </w:rPr>
              <w:t xml:space="preserve"> [СРОК/СОБЫТИЕ]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Требование прекратить распространение:</w:t>
            </w:r>
            <w:r>
              <w:rPr>
                <w:rFonts w:ascii="Calibri" w:hAnsi="Calibri"/>
                <w:sz w:val="20"/>
              </w:rPr>
              <w:t xml:space="preserve"> [EMAIL/АДРЕС]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Дата и способ получения согласия:</w:t>
            </w:r>
            <w:r>
              <w:rPr>
                <w:rFonts w:ascii="Calibri" w:hAnsi="Calibri"/>
                <w:sz w:val="20"/>
              </w:rPr>
              <w:t xml:space="preserve"> [ДАТА, ВРЕМЯ, БУМАГА/ЭЛЕКТРОННО]</w:t>
            </w:r>
          </w:p>
        </w:tc>
      </w:tr>
    </w:tbl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Неотмеченный элемент не разрешён. Требование прекратить распространение действует с момента поступления оператору; центр фиксирует его, прекращает доступные ему публикации и проводит отдельный контроль исполнения.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субъекта/представителя: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ФИО и полномочия: [ДАННЫЕ]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Версия: PD-DISTRIBUTION / 2.0 / 07.08.2026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Указать каждый точный ресурс и URL страницы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Выбрать категории и конкретные данные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Для каждого выбранного элемента задать условие и запрет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Молчаливое разрешение, общая фраза «соцсети», неотмеченные категории и один чекбокс для всех площадок.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Открытая публикация запускается общей подписью под словом «медиа» или «соцсети».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10.1 152-ФЗ — сведения, разрешённые для распространения</w:t>
        </w:r>
      </w:hyperlink>
    </w:p>
    <w:p>
      <w:pPr>
        <w:keepNext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Приказ Роскомнадзора № 18 — содержание согласия</w:t>
        </w:r>
      </w:hyperlink>
      <w:r>
        <w:rPr>
          <w:rFonts w:ascii="Calibri" w:hAnsi="Calibri"/>
          <w:color w:val="66706A"/>
          <w:sz w:val="16"/>
        </w:rPr>
        <w:t xml:space="preserve"> · действует до 2027-09-01</w:t>
      </w:r>
    </w:p>
    <w:p>
      <w:pPr>
        <w:keepNext w:val="0"/>
        <w:keepLines/>
        <w:spacing w:after="20" w:line="240" w:lineRule="auto"/>
      </w:pPr>
      <w:hyperlink r:id="rId11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152.1 ГК РФ — изображение гражданина</w:t>
        </w:r>
      </w:hyperlink>
    </w:p>
    <w:sectPr w:rsidR="00FC693F" w:rsidRPr="0006063C" w:rsidSect="00034616">
      <w:footerReference w:type="default" r:id="rId12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61801/591acc70f577873c1ee54765eda110b7a0271eaf/" TargetMode="External"/><Relationship Id="rId10" Type="http://schemas.openxmlformats.org/officeDocument/2006/relationships/hyperlink" Target="https://publication.pravo.gov.ru/document/0001202104210039" TargetMode="External"/><Relationship Id="rId11" Type="http://schemas.openxmlformats.org/officeDocument/2006/relationships/hyperlink" Target="https://www.consultant.ru/document/cons_doc_LAW_5142/14c6c3902cffa17ab26d330b2fd4fae28e5cd059/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распространение персональных данных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