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PD-DESTRUCTION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Акт уничтожения персональных данных и выгрузка журнала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При автоматизированной обработке оформляются и акт, и выгрузка из журнала регистрации событий. Оба подтверждения связываются с ID записи и хранятся три года.</w:t>
            </w:r>
          </w:p>
        </w:tc>
      </w:tr>
    </w:tbl>
    <w:p>
      <w:pPr>
        <w:spacing w:after="0" w:line="72" w:lineRule="auto"/>
      </w:pP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Инструкция перед подписанием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Проверить основание и список данных, которые действительно можно уничтожить.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Отдельно отметить бумажные носители, информационную систему и обработчика.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Сформировать выгрузку события с идентификатором субъекта, категориями данных, системой, основанием и датой.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Проверить резервные копии и правила их очистки; не восстанавливать уничтоженное без основания.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Сохранить акт и выгрузку три года с ограничением доступа.</w:t>
      </w: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Акт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Реквизиты по приказу № 179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[НАИМЕНОВАНИЕ И 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Обработчик:</w:t>
            </w:r>
            <w:r>
              <w:rPr>
                <w:rFonts w:ascii="Calibri" w:hAnsi="Calibri"/>
                <w:sz w:val="20"/>
              </w:rPr>
              <w:t xml:space="preserve"> [НАИМЕНОВАНИЕ/ФИО И АДРЕС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Идентификатор субъекта без лишнего воспроизведения данных:</w:t>
            </w:r>
            <w:r>
              <w:rPr>
                <w:rFonts w:ascii="Calibri" w:hAnsi="Calibri"/>
                <w:sz w:val="20"/>
              </w:rPr>
              <w:t xml:space="preserve"> [ID]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Категории уничтоженных данных:</w:t>
            </w:r>
            <w:r>
              <w:rPr>
                <w:rFonts w:ascii="Calibri" w:hAnsi="Calibri"/>
                <w:sz w:val="20"/>
              </w:rPr>
              <w:t xml:space="preserve"> [ПЕРЕЧЕНЬ]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Бумажные носители и количество листов:</w:t>
            </w:r>
            <w:r>
              <w:rPr>
                <w:rFonts w:ascii="Calibri" w:hAnsi="Calibri"/>
                <w:sz w:val="20"/>
              </w:rPr>
              <w:t xml:space="preserve"> [ДАННЫЕ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Информационная система:</w:t>
            </w:r>
            <w:r>
              <w:rPr>
                <w:rFonts w:ascii="Calibri" w:hAnsi="Calibri"/>
                <w:sz w:val="20"/>
              </w:rPr>
              <w:t xml:space="preserve"> [НАЗВАНИЕ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Основание:</w:t>
            </w:r>
            <w:r>
              <w:rPr>
                <w:rFonts w:ascii="Calibri" w:hAnsi="Calibri"/>
                <w:sz w:val="20"/>
              </w:rPr>
              <w:t xml:space="preserve"> [ОТЗЫВ/ДОСТИЖЕНИЕ ЦЕЛИ/ЗАПРОС/ИНОЕ]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Способ и дата уничтожения:</w:t>
            </w:r>
            <w:r>
              <w:rPr>
                <w:rFonts w:ascii="Calibri" w:hAnsi="Calibri"/>
                <w:sz w:val="20"/>
              </w:rPr>
              <w:t xml:space="preserve"> [СПОСОБ, ДАТА, ВРЕМЯ]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Ответственные лица:</w:t>
            </w:r>
            <w:r>
              <w:rPr>
                <w:rFonts w:ascii="Calibri" w:hAnsi="Calibri"/>
                <w:sz w:val="20"/>
              </w:rPr>
              <w:t xml:space="preserve"> [ФИО, ДОЛЖНОСТЬ]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ответственного: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представителя обработчика: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 утверждения акта: [ДАТА]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ID акта и место хранения: [ID/ПУТЬ]</w:t>
            </w:r>
          </w:p>
        </w:tc>
      </w:tr>
    </w:tbl>
    <w:p>
      <w:pPr>
        <w:spacing w:after="0"/>
      </w:pPr>
      <w:r>
        <w:br w:type="page"/>
      </w:r>
    </w:p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PD-DESTRUCTION-LOG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Выгрузка из журнала регистрации событий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Минимальный состав выгрузки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>
        <w:trPr>
          <w:cantSplit/>
          <w:tblHeader w:val="true"/>
        </w:trPr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ID субъекта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Категории данных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Система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Основание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Дата/время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Операция</w:t>
            </w:r>
          </w:p>
        </w:tc>
        <w:tc>
          <w:tcPr>
            <w:tcW w:type="dxa" w:w="13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ID события</w:t>
            </w:r>
          </w:p>
        </w:tc>
      </w:tr>
      <w:tr>
        <w:trPr>
          <w:cantSplit/>
          <w:cantSplit/>
        </w:trPr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[ID]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[КАТЕГОРИИ]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[СИСТЕМА]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[ОСНОВАНИЕ]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[ДАТА, ВРЕМЯ]</w:t>
            </w:r>
          </w:p>
        </w:tc>
        <w:tc>
          <w:tcPr>
            <w:tcW w:type="dxa" w:w="13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Уничтожение</w:t>
            </w:r>
          </w:p>
        </w:tc>
        <w:tc>
          <w:tcPr>
            <w:tcW w:type="dxa" w:w="13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[ID СОБЫТИЯ]</w:t>
            </w:r>
          </w:p>
        </w:tc>
      </w:tr>
    </w:tbl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Если журнал не содержит необходимого поля, недостающие сведения раскрываются в акте. Выгрузка и акт вместе являются подтверждением уничтожения; срок хранения подтверждений — три года.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Источник выгрузки: [СИСТЕМА/АДРЕС АРХИВА]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Хэш или контрольная сумма файла: [ЗНАЧЕНИЕ]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Ответственный за выгрузку: [ФИО, ПОДПИСЬ]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Описать фактическую систему и носители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Получить выгрузку журнала регистрации событий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Хранить акт и выгрузку три года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Обещание удалить данные, которые законно сохраняются по другому основанию, или один акт без журнала при автоматизированной обработке.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Акт подписан, но нет выгрузки событий, основания, обработчика или способа уничтожения.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Приказ Роскомнадзора № 179 — подтверждение уничтожения</w:t>
        </w:r>
      </w:hyperlink>
      <w:r>
        <w:rPr>
          <w:rFonts w:ascii="Calibri" w:hAnsi="Calibri"/>
          <w:color w:val="66706A"/>
          <w:sz w:val="16"/>
        </w:rPr>
        <w:t xml:space="preserve"> · действует до 2029-03-01</w:t>
      </w:r>
    </w:p>
    <w:p>
      <w:pPr>
        <w:keepNext w:val="0"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152-ФЗ — прекращение и уничтожение</w:t>
        </w:r>
      </w:hyperlink>
    </w:p>
    <w:sectPr w:rsidR="00FC693F" w:rsidRPr="0006063C" w:rsidSect="00034616">
      <w:footerReference w:type="default" r:id="rId11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lication.pravo.gov.ru/Document/View/0001202211290008" TargetMode="External"/><Relationship Id="rId10" Type="http://schemas.openxmlformats.org/officeDocument/2006/relationships/hyperlink" Target="https://normativ.kontur.ru/document?documentId=507366&amp;moduleId=1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уничтожения персональных данных и выгрузка журнала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