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PD-SUBJECT-REQUEST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Запрос субъекта персональных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Укажите только сведения, необходимые для идентификации и ответа. Копия документа не требуется автоматически: центр выбирает соразмерный способ проверки личности и полномочий.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Заявитель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 И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Субъект:</w:t>
            </w:r>
            <w:r>
              <w:rPr>
                <w:rFonts w:ascii="Calibri" w:hAnsi="Calibri"/>
                <w:sz w:val="20"/>
              </w:rPr>
              <w:t xml:space="preserve"> [ФИО, КОНТАКТ]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Документ субъекта/представителя:</w:t>
            </w:r>
            <w:r>
              <w:rPr>
                <w:rFonts w:ascii="Calibri" w:hAnsi="Calibri"/>
                <w:sz w:val="20"/>
              </w:rPr>
              <w:t xml:space="preserve"> [НОМЕР, ДАТА ВЫДАЧИ, ВЫДАВШИЙ ОРГАН]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Отношения с оператором или факт обработки:</w:t>
            </w:r>
            <w:r>
              <w:rPr>
                <w:rFonts w:ascii="Calibri" w:hAnsi="Calibri"/>
                <w:sz w:val="20"/>
              </w:rPr>
              <w:t xml:space="preserve"> [ДОГОВОР/ЗАЯВКА/ID/ИНАЯ СВЯЗЬ]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Представитель и полномочия:</w:t>
            </w:r>
            <w:r>
              <w:rPr>
                <w:rFonts w:ascii="Calibri" w:hAnsi="Calibri"/>
                <w:sz w:val="20"/>
              </w:rPr>
              <w:t xml:space="preserve"> [ФИО, ДОКУМЕНТ, ОСНОВАНИЕ]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Если запрос повторный:</w:t>
            </w:r>
            <w:r>
              <w:rPr>
                <w:rFonts w:ascii="Calibri" w:hAnsi="Calibri"/>
                <w:sz w:val="20"/>
              </w:rPr>
              <w:t xml:space="preserve"> обоснование повторного обращения [ТЕКСТ ИЛИ «НЕ ПРИМЕНЯЕТСЯ»]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Требование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Предоставить сведения и доступ.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Исправить неточность.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Заблокировать данные на период проверки.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Прекратить обработку.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Уничтожить данные при наличии основания.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Другое: [КОНКРЕТНОЕ ДЕЙСТВИЕ]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Объём запроса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Цели и данные:</w:t>
            </w:r>
            <w:r>
              <w:rPr>
                <w:rFonts w:ascii="Calibri" w:hAnsi="Calibri"/>
                <w:sz w:val="20"/>
              </w:rPr>
              <w:t xml:space="preserve"> [ТОЧНЫЙ 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Системы/носители:</w:t>
            </w:r>
            <w:r>
              <w:rPr>
                <w:rFonts w:ascii="Calibri" w:hAnsi="Calibri"/>
                <w:sz w:val="20"/>
              </w:rPr>
              <w:t xml:space="preserve"> [CRM, ОБЛАКО, БУМАГА ИЛИ «НЕ ИЗВЕСТНО»]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Подтверждающие документы:</w:t>
            </w:r>
            <w:r>
              <w:rPr>
                <w:rFonts w:ascii="Calibri" w:hAnsi="Calibri"/>
                <w:sz w:val="20"/>
              </w:rPr>
              <w:t xml:space="preserve"> [ПЕРЕЧЕНЬ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Безопасный канал ответа:</w:t>
            </w:r>
            <w:r>
              <w:rPr>
                <w:rFonts w:ascii="Calibri" w:hAnsi="Calibri"/>
                <w:sz w:val="20"/>
              </w:rPr>
              <w:t xml:space="preserve"> [EMAIL/АДРЕС/ЛИЧНО]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Контрольные сроки для оператора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Сведения или мотивированный отказ: 10 рабочих дней с возможным мотивированным продлением не более чем на 5 рабочих дней и уведомлением заявителя.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Исправление подтверждённой неточности: до 7 рабочих дней после подтверждения.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Уничтожение незаконно полученных или ненужных данных: до 7 рабочих дней, если нет другого основания.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Для прекращения обработки, блокирования и иных требований применяются сроки статьи 21 и фактическое основание; не используйте один срок для всех случаев.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Передать поручения обработчикам, зафиксировать дату ответа, результат и доказательство отправки.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заявителя: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 и время: [ДАТА, ВРЕМЯ]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Ответственный: [ФИО, ДОЛЖНОСТЬ]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ID в журнале запросов: [ID]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Настроить безопасную идентификацию и канал ответа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Выбрать нужное действие и системы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Перенести запрос в журнал и поставить контроль сроков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Автоматическое требование копии паспорта без оценки необходимости и один общий срок для всех обращений.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Центр отвечает на запрос без проверки полномочий либо требует полный паспортный пакет всегда.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14 152-ФЗ — доступ к данным</w:t>
        </w:r>
      </w:hyperlink>
    </w:p>
    <w:p>
      <w:pPr>
        <w:keepNext w:val="0"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21 152-ФЗ — блокирование и уничтожение</w:t>
        </w:r>
      </w:hyperlink>
    </w:p>
    <w:sectPr w:rsidR="00FC693F" w:rsidRPr="0006063C" w:rsidSect="00034616">
      <w:footerReference w:type="default" r:id="rId10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normativ.kontur.ru/document?documentId=507366&amp;moduleId=1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субъекта персональных данных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