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80" w:after="160"/>
        <w:jc w:val="center"/>
      </w:pPr>
      <w:r>
        <w:rPr>
          <w:rFonts w:ascii="Calibri" w:hAnsi="Calibri" w:eastAsia="Calibri"/>
          <w:b/>
          <w:i w:val="0"/>
          <w:color w:val="2E5BFF"/>
          <w:sz w:val="18"/>
        </w:rPr>
        <w:t>ДОГОВОР № ____</w:t>
      </w:r>
    </w:p>
    <w:p>
      <w:pPr>
        <w:pStyle w:val="Title"/>
        <w:jc w:val="center"/>
      </w:pPr>
      <w:r>
        <w:t>на создание, передачу прав</w:t>
        <w:br/>
        <w:t>и техническое сопровождение сайта</w:t>
      </w:r>
    </w:p>
    <w:p>
      <w:pPr>
        <w:spacing w:after="480"/>
        <w:jc w:val="center"/>
      </w:pPr>
      <w:r>
        <w:rPr>
          <w:rFonts w:ascii="Calibri" w:hAnsi="Calibri" w:eastAsia="Calibri"/>
          <w:b w:val="0"/>
          <w:i w:val="0"/>
          <w:color w:val="5E6762"/>
          <w:sz w:val="20"/>
        </w:rPr>
        <w:t>г. Москва  ·  «___» __________ 2026 г.</w:t>
      </w:r>
    </w:p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CE8E3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6" w:color="FCE8E3"/>
              <w:bottom w:val="single" w:sz="6" w:color="FCE8E3"/>
              <w:start w:val="single" w:sz="6" w:color="FCE8E3"/>
              <w:end w:val="single" w:sz="6" w:color="FCE8E3"/>
            </w:tcBorders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9A341E"/>
                <w:sz w:val="18"/>
              </w:rPr>
              <w:t>Важное предупреждение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9A341E"/>
                <w:sz w:val="18"/>
              </w:rPr>
              <w:t>ООО «Аирхоп», ИНН, ОГРН, адрес, банк и ФИО директора в этом файле вымышлены. Замените их до подписания или публикации. Документ рассчитан на отношения между бизнесами (B2B) и требует проверки юристом под фактические процессы, инфраструктуру и налогообложение.</w:t>
            </w:r>
          </w:p>
        </w:tc>
      </w:tr>
    </w:tbl>
    <w:p>
      <w:pPr>
        <w:spacing w:after="0"/>
      </w:pPr>
    </w:p>
    <w:p>
      <w:pPr>
        <w:spacing w:before="240" w:after="200"/>
      </w:pPr>
      <w:r>
        <w:t xml:space="preserve">Общество с ограниченной ответственностью «Аирхоп» в лице генерального директора Иванова Ивана Ивановича, действующего на основании Устава, именуемое в дальнейшем «Исполнитель», с одной стороны, и </w:t>
      </w:r>
      <w:r>
        <w:rPr>
          <w:b/>
        </w:rPr>
        <w:t>________________________________________</w:t>
      </w:r>
      <w:r>
        <w:t>, в лице ________________________________________, действующего на основании ____________________, именуемое в дальнейшем «Заказчик», с другой стороны, совместно — «Стороны», заключили настоящий договор о нижеследующем.</w:t>
      </w:r>
    </w:p>
    <w:p>
      <w:pPr>
        <w:keepNext/>
        <w:spacing w:after="100"/>
      </w:pPr>
      <w:r>
        <w:rPr>
          <w:rFonts w:ascii="Calibri" w:hAnsi="Calibri" w:eastAsia="Calibri"/>
          <w:b/>
          <w:i w:val="0"/>
          <w:smallCaps/>
          <w:color w:val="2E5BFF"/>
          <w:sz w:val="17"/>
        </w:rPr>
        <w:t>СУТЬ ДОГОВОРА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Результат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Персонализированный сайт на готовой технологической основе, состав которого закреплён в Заказе.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Срок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Начинается после оплаты и передачи материалов; конкретная дата — в Заказе.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Приёмка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5 рабочих дней на единый перечень конкретных замечаний.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Права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Индивидуальный оплаченный результат — Заказчику; платформа и общие модули — Исполнителю.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Поддержка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По выбранному тарифу. Заявки могут поступать в согласованный мессенджер.</w:t>
            </w:r>
          </w:p>
        </w:tc>
      </w:tr>
    </w:tbl>
    <w:p>
      <w:r>
        <w:br w:type="page"/>
      </w:r>
    </w:p>
    <w:p>
      <w:pPr>
        <w:pStyle w:val="Heading1"/>
        <w:numPr>
          <w:ilvl w:val="0"/>
          <w:numId w:val="10"/>
        </w:numPr>
      </w:pPr>
      <w:r>
        <w:t>Термины</w:t>
      </w:r>
    </w:p>
    <w:p>
      <w:pPr>
        <w:widowControl/>
        <w:numPr>
          <w:ilvl w:val="1"/>
          <w:numId w:val="10"/>
        </w:numPr>
      </w:pPr>
      <w:r>
        <w:t>«Сайт» — совокупность веб-страниц, программного кода, дизайна, контента и настроек, создаваемых или адаптируемых для Заказчика по Заказу.</w:t>
      </w:r>
    </w:p>
    <w:p>
      <w:pPr>
        <w:widowControl/>
        <w:numPr>
          <w:ilvl w:val="1"/>
          <w:numId w:val="10"/>
        </w:numPr>
      </w:pPr>
      <w:r>
        <w:t>«Платформа» — принадлежащие Исполнителю технологическая основа, система сборки и публикации, универсальные шаблоны, библиотеки, автоматизации, интеграционные модули, Telegram- и AI-редактор и иные переиспользуемые компоненты.</w:t>
      </w:r>
    </w:p>
    <w:p>
      <w:pPr>
        <w:widowControl/>
        <w:numPr>
          <w:ilvl w:val="1"/>
          <w:numId w:val="10"/>
        </w:numPr>
      </w:pPr>
      <w:r>
        <w:t>«Заказ» — подписанная Сторонами спецификация, счёт, коммерческое предложение или согласованное электронное сообщение, определяющее тариф, цену, состав, срок и иные индивидуальные условия.</w:t>
      </w:r>
    </w:p>
    <w:p>
      <w:pPr>
        <w:widowControl/>
        <w:numPr>
          <w:ilvl w:val="1"/>
          <w:numId w:val="10"/>
        </w:numPr>
      </w:pPr>
      <w:r>
        <w:t>«Простая правка» — изменение текста, цены, расписания, контактных данных, фотографии или иного содержимого внутри уже созданного блока без изменения структуры, дизайна и программной логики.</w:t>
      </w:r>
    </w:p>
    <w:p>
      <w:pPr>
        <w:widowControl/>
        <w:numPr>
          <w:ilvl w:val="1"/>
          <w:numId w:val="10"/>
        </w:numPr>
      </w:pPr>
      <w:r>
        <w:t>«Сторонний сервис» — хостинг, регистратор домена, мессенджер, карты, аналитика, шрифты, платёжная система и любой иной ресурс, который не контролируется Исполнителем.</w:t>
      </w:r>
    </w:p>
    <w:p>
      <w:pPr>
        <w:widowControl/>
        <w:numPr>
          <w:ilvl w:val="1"/>
          <w:numId w:val="10"/>
        </w:numPr>
      </w:pPr>
      <w:r>
        <w:t>«Рабочий день» — день, который не является выходным или нерабочим праздничным днём по законодательству Российской Федерации.</w:t>
      </w:r>
    </w:p>
    <w:p>
      <w:pPr>
        <w:pStyle w:val="Heading1"/>
        <w:numPr>
          <w:ilvl w:val="0"/>
          <w:numId w:val="11"/>
        </w:numPr>
      </w:pPr>
      <w:r>
        <w:t>Предмет договора</w:t>
      </w:r>
    </w:p>
    <w:p>
      <w:pPr>
        <w:widowControl/>
        <w:numPr>
          <w:ilvl w:val="1"/>
          <w:numId w:val="11"/>
        </w:numPr>
      </w:pPr>
      <w:r>
        <w:t>Исполнитель обязуется по заданию Заказчика адаптировать готовую технологическую основу, создать и запустить Сайт, передать согласованные права на результат и, если предусмотрено Заказом, оказывать техническое сопровождение. Заказчик обязуется предоставить материалы, принять результат и оплатить услуги.</w:t>
      </w:r>
    </w:p>
    <w:p>
      <w:pPr>
        <w:widowControl/>
        <w:numPr>
          <w:ilvl w:val="1"/>
          <w:numId w:val="11"/>
        </w:numPr>
      </w:pPr>
      <w:r>
        <w:t>Конкретный состав результата, количество страниц, функции, тариф, стоимость, сроки, домен, хостинг и период сопровождения определяются Заказом. При расхождении Заказ имеет приоритет в части индивидуальных коммерческих и технических условий.</w:t>
      </w:r>
    </w:p>
    <w:p>
      <w:pPr>
        <w:widowControl/>
        <w:numPr>
          <w:ilvl w:val="1"/>
          <w:numId w:val="11"/>
        </w:numPr>
      </w:pPr>
      <w:r>
        <w:t>Возможный состав: адаптивные страницы; подключение домена и хостинга; формы заявок; доставка обращений в выбранный мессенджер; техническая SEO-подготовка; карта сайта; robots.txt; структурированные данные; страница отзывов и QR-ссылка; редактор контента; резервное копирование.</w:t>
      </w:r>
    </w:p>
    <w:p>
      <w:pPr>
        <w:widowControl/>
        <w:numPr>
          <w:ilvl w:val="1"/>
          <w:numId w:val="11"/>
        </w:numPr>
      </w:pPr>
      <w:r>
        <w:t>Реклама, продвижение, профессиональная фото- и видеосъёмка, подготовка юридических заключений, сложные CRM-интеграции, онлайн-оплата, личный кабинет, телефония и функции, не перечисленные в Заказе, в предмет не входят.</w:t>
      </w:r>
    </w:p>
    <w:p>
      <w:pPr>
        <w:pStyle w:val="Heading1"/>
        <w:numPr>
          <w:ilvl w:val="0"/>
          <w:numId w:val="12"/>
        </w:numPr>
      </w:pPr>
      <w:r>
        <w:t>Демонстрация и формирование Заказа</w:t>
      </w:r>
    </w:p>
    <w:p>
      <w:pPr>
        <w:widowControl/>
        <w:numPr>
          <w:ilvl w:val="1"/>
          <w:numId w:val="12"/>
        </w:numPr>
      </w:pPr>
      <w:r>
        <w:t>До заключения договора Исполнитель вправе бесплатно подготовить персонализированную демонстрацию. Она предназначена для оценки подхода и не считается полностью готовым результатом, офертой по цене или началом исполнения договора.</w:t>
      </w:r>
    </w:p>
    <w:p>
      <w:pPr>
        <w:widowControl/>
        <w:numPr>
          <w:ilvl w:val="1"/>
          <w:numId w:val="12"/>
        </w:numPr>
      </w:pPr>
      <w:r>
        <w:t>Заказ формируется на основании выбранного тарифа и согласований. Он должен позволять определить как минимум результат, цену или порядок её определения и срок либо порядок его определения.</w:t>
      </w:r>
    </w:p>
    <w:p>
      <w:pPr>
        <w:widowControl/>
        <w:numPr>
          <w:ilvl w:val="1"/>
          <w:numId w:val="12"/>
        </w:numPr>
      </w:pPr>
      <w:r>
        <w:t>Если Заказ оформлен счётом, его оплата подтверждает согласие Заказчика с настоящим договором, характеристиками результата и условиями счёта. Электронные согласования являются частью Заказа.</w:t>
      </w:r>
    </w:p>
    <w:p>
      <w:pPr>
        <w:pStyle w:val="Heading1"/>
        <w:numPr>
          <w:ilvl w:val="0"/>
          <w:numId w:val="13"/>
        </w:numPr>
      </w:pPr>
      <w:r>
        <w:t>Материалы и порядок работ</w:t>
      </w:r>
    </w:p>
    <w:p>
      <w:pPr>
        <w:widowControl/>
        <w:numPr>
          <w:ilvl w:val="1"/>
          <w:numId w:val="13"/>
        </w:numPr>
      </w:pPr>
      <w:r>
        <w:t>Заказчик передаёт достоверные реквизиты, логотип, тексты, фотографии, цены, расписание, сведения об услугах, политику обработки данных и необходимые доступы в согласованном формате.</w:t>
      </w:r>
    </w:p>
    <w:p>
      <w:pPr>
        <w:widowControl/>
        <w:numPr>
          <w:ilvl w:val="1"/>
          <w:numId w:val="13"/>
        </w:numPr>
      </w:pPr>
      <w:r>
        <w:t>Срок начинается на следующий Рабочий день после получения аванса и всех материалов, без которых невозможно начать соответствующий этап. Задержка со стороны Заказчика сдвигает сроки не менее чем на период задержки.</w:t>
      </w:r>
    </w:p>
    <w:p>
      <w:pPr>
        <w:widowControl/>
        <w:numPr>
          <w:ilvl w:val="1"/>
          <w:numId w:val="13"/>
        </w:numPr>
      </w:pPr>
      <w:r>
        <w:t>Работы могут включать: сбор материалов; адаптацию; первичную сборку; согласование; внесение включённых правок; подключение домена; запуск; передачу доступов и инструкции.</w:t>
      </w:r>
    </w:p>
    <w:p>
      <w:pPr>
        <w:widowControl/>
        <w:numPr>
          <w:ilvl w:val="1"/>
          <w:numId w:val="13"/>
        </w:numPr>
      </w:pPr>
      <w:r>
        <w:t>Если Заказчик не отвечает более 10 Рабочих дней, Исполнитель вправе приостановить работы. Возобновление осуществляется с учётом текущей загрузки после получения материалов; новый срок Стороны согласуют дополнительно.</w:t>
      </w:r>
    </w:p>
    <w:p>
      <w:pPr>
        <w:widowControl/>
        <w:numPr>
          <w:ilvl w:val="1"/>
          <w:numId w:val="13"/>
        </w:numPr>
      </w:pPr>
      <w:r>
        <w:t>Исполнитель самостоятельно определяет технические методы и последовательность работ, если они не закреплены в Заказе и не ухудшают согласованный результат.</w:t>
      </w:r>
    </w:p>
    <w:p>
      <w:pPr>
        <w:pStyle w:val="Heading1"/>
        <w:numPr>
          <w:ilvl w:val="0"/>
          <w:numId w:val="14"/>
        </w:numPr>
      </w:pPr>
      <w:r>
        <w:t>Права и обязанности Исполнителя</w:t>
      </w:r>
    </w:p>
    <w:p>
      <w:pPr>
        <w:widowControl/>
        <w:numPr>
          <w:ilvl w:val="1"/>
          <w:numId w:val="14"/>
        </w:numPr>
      </w:pPr>
      <w:r>
        <w:t>Создать результат в объёме Заказа и информировать Заказчика о готовности, существенных препятствиях и необходимых решениях.</w:t>
      </w:r>
    </w:p>
    <w:p>
      <w:pPr>
        <w:widowControl/>
        <w:numPr>
          <w:ilvl w:val="1"/>
          <w:numId w:val="14"/>
        </w:numPr>
      </w:pPr>
      <w:r>
        <w:t>Исправить подтверждённые несоответствия Заказу и воспроизводимые технические ошибки в пределах гарантийного периода или оплаченного сопровождения.</w:t>
      </w:r>
    </w:p>
    <w:p>
      <w:pPr>
        <w:widowControl/>
        <w:numPr>
          <w:ilvl w:val="1"/>
          <w:numId w:val="14"/>
        </w:numPr>
      </w:pPr>
      <w:r>
        <w:t>Привлекать третьих лиц, оставаясь ответственным перед Заказчиком за их действия как за свои, и предоставлять им только необходимый объём данных и доступов.</w:t>
      </w:r>
    </w:p>
    <w:p>
      <w:pPr>
        <w:widowControl/>
        <w:numPr>
          <w:ilvl w:val="1"/>
          <w:numId w:val="14"/>
        </w:numPr>
      </w:pPr>
      <w:r>
        <w:t>Приостановить работы при просрочке оплаты, непредоставлении материалов, незаконном контенте, угрозе безопасности или нарушении правил стороннего сервиса, предварительно уведомив Заказчика, когда это возможно.</w:t>
      </w:r>
    </w:p>
    <w:p>
      <w:pPr>
        <w:widowControl/>
        <w:numPr>
          <w:ilvl w:val="1"/>
          <w:numId w:val="14"/>
        </w:numPr>
      </w:pPr>
      <w:r>
        <w:t>Отказать в публикации материала или выполнении команды, если имеются разумные основания полагать, что они нарушают закон, права третьих лиц, безопасность или работоспособность Сайта.</w:t>
      </w:r>
    </w:p>
    <w:p>
      <w:pPr>
        <w:pStyle w:val="Heading1"/>
        <w:numPr>
          <w:ilvl w:val="0"/>
          <w:numId w:val="15"/>
        </w:numPr>
      </w:pPr>
      <w:r>
        <w:t>Права и обязанности Заказчика</w:t>
      </w:r>
    </w:p>
    <w:p>
      <w:pPr>
        <w:widowControl/>
        <w:numPr>
          <w:ilvl w:val="1"/>
          <w:numId w:val="15"/>
        </w:numPr>
      </w:pPr>
      <w:r>
        <w:t>Своевременно оплачивать услуги, назначить уполномоченного представителя, предоставлять материалы и давать однозначные согласования.</w:t>
      </w:r>
    </w:p>
    <w:p>
      <w:pPr>
        <w:widowControl/>
        <w:numPr>
          <w:ilvl w:val="1"/>
          <w:numId w:val="15"/>
        </w:numPr>
      </w:pPr>
      <w:r>
        <w:t>Проверять результат, цены, расписание, контакты, формулировки, обязательную информацию и работу каналов заявок до запуска рекламы и начала коммерческого использования.</w:t>
      </w:r>
    </w:p>
    <w:p>
      <w:pPr>
        <w:widowControl/>
        <w:numPr>
          <w:ilvl w:val="1"/>
          <w:numId w:val="15"/>
        </w:numPr>
      </w:pPr>
      <w:r>
        <w:t>Обеспечить наличие прав и разрешений на контент, законность деятельности, корректность пользовательских согласий и соблюдение требований к персональным данным.</w:t>
      </w:r>
    </w:p>
    <w:p>
      <w:pPr>
        <w:widowControl/>
        <w:numPr>
          <w:ilvl w:val="1"/>
          <w:numId w:val="15"/>
        </w:numPr>
      </w:pPr>
      <w:r>
        <w:t>Самостоятельно хранить и защищать доступы к домену, хостингу, мессенджерам и иным сервисам; незамедлительно сообщать о компрометации.</w:t>
      </w:r>
    </w:p>
    <w:p>
      <w:pPr>
        <w:widowControl/>
        <w:numPr>
          <w:ilvl w:val="1"/>
          <w:numId w:val="15"/>
        </w:numPr>
      </w:pPr>
      <w:r>
        <w:t>Не обходить технические ограничения Платформы, не передавать доступ неуполномоченным лицам и не использовать AI-инструменты для публикации незаконной или вводящей в заблуждение информации.</w:t>
      </w:r>
    </w:p>
    <w:p>
      <w:pPr>
        <w:pStyle w:val="Heading1"/>
        <w:numPr>
          <w:ilvl w:val="0"/>
          <w:numId w:val="16"/>
        </w:numPr>
      </w:pPr>
      <w:r>
        <w:t>Стоимость и порядок оплаты</w:t>
      </w:r>
    </w:p>
    <w:p>
      <w:pPr>
        <w:widowControl/>
        <w:numPr>
          <w:ilvl w:val="1"/>
          <w:numId w:val="16"/>
        </w:numPr>
      </w:pPr>
      <w:r>
        <w:t>Стоимость определяется Заказом. Цены на сайте и в презентациях являются ориентировочными, пока не закреплены в Заказе или счёте.</w:t>
      </w:r>
    </w:p>
    <w:p>
      <w:pPr>
        <w:widowControl/>
        <w:numPr>
          <w:ilvl w:val="1"/>
          <w:numId w:val="16"/>
        </w:numPr>
      </w:pPr>
      <w:r>
        <w:t>Если Заказом не установлено иное, запуск оплачивается авансом 100%, а сопровождение — авансом за будущий расчётный период. Обязанность по оплате исполнена после зачисления средств Исполнителю.</w:t>
      </w:r>
    </w:p>
    <w:p>
      <w:pPr>
        <w:widowControl/>
        <w:numPr>
          <w:ilvl w:val="1"/>
          <w:numId w:val="16"/>
        </w:numPr>
      </w:pPr>
      <w:r>
        <w:t>Вознаграждение за отчуждение исключительных прав на индивидуальные охраняемые элементы результата включено в стоимость запуска и составляет 10% от неё, если Заказом не предусмотрен иной размер или порядок определения.</w:t>
      </w:r>
    </w:p>
    <w:p>
      <w:pPr>
        <w:widowControl/>
        <w:numPr>
          <w:ilvl w:val="1"/>
          <w:numId w:val="16"/>
        </w:numPr>
      </w:pPr>
      <w:r>
        <w:t>Комиссии банков и платёжных сервисов оплачивает сторона, с которой они удерживаются. Налоги Исполнитель исчисляет в соответствии со своим режимом налогообложения, указанным в счёте.</w:t>
      </w:r>
    </w:p>
    <w:p>
      <w:pPr>
        <w:widowControl/>
        <w:numPr>
          <w:ilvl w:val="1"/>
          <w:numId w:val="16"/>
        </w:numPr>
      </w:pPr>
      <w:r>
        <w:t>Дополнительные работы выполняются после согласования содержания, цены или ставки и срока в электронном сообщении или отдельном Заказе.</w:t>
      </w:r>
    </w:p>
    <w:p>
      <w:pPr>
        <w:pStyle w:val="Heading1"/>
        <w:numPr>
          <w:ilvl w:val="0"/>
          <w:numId w:val="17"/>
        </w:numPr>
      </w:pPr>
      <w:r>
        <w:t>Сдача, приёмка и гарантия</w:t>
      </w:r>
    </w:p>
    <w:p>
      <w:pPr>
        <w:widowControl/>
        <w:numPr>
          <w:ilvl w:val="1"/>
          <w:numId w:val="17"/>
        </w:numPr>
      </w:pPr>
      <w:r>
        <w:t>Исполнитель направляет ссылку на результат или уведомление о запуске по согласованному адресу электронной почты либо в мессенджере.</w:t>
      </w:r>
    </w:p>
    <w:p>
      <w:pPr>
        <w:widowControl/>
        <w:numPr>
          <w:ilvl w:val="1"/>
          <w:numId w:val="17"/>
        </w:numPr>
      </w:pPr>
      <w:r>
        <w:t>Заказчик в течение 5 Рабочих дней принимает результат либо направляет единый перечень конкретных несоответствий Заказу с описанием, ссылкой и, когда возможно, скриншотом.</w:t>
      </w:r>
    </w:p>
    <w:p>
      <w:pPr>
        <w:widowControl/>
        <w:numPr>
          <w:ilvl w:val="1"/>
          <w:numId w:val="17"/>
        </w:numPr>
      </w:pPr>
      <w:r>
        <w:t>Исполнитель устраняет подтверждённые несоответствия без дополнительной платы и повторно предъявляет результат. Пожелания, расширяющие Заказ, оформляются как дополнительные работы.</w:t>
      </w:r>
    </w:p>
    <w:p>
      <w:pPr>
        <w:widowControl/>
        <w:numPr>
          <w:ilvl w:val="1"/>
          <w:numId w:val="17"/>
        </w:numPr>
      </w:pPr>
      <w:r>
        <w:t>При отсутствии мотивированных замечаний в срок, а также при размещении на домене Заказчика, запуске рекламы, публикации Заказчиком изменений или фактическом приёме заявок результат считается принятым.</w:t>
      </w:r>
    </w:p>
    <w:p>
      <w:pPr>
        <w:widowControl/>
        <w:numPr>
          <w:ilvl w:val="1"/>
          <w:numId w:val="17"/>
        </w:numPr>
      </w:pPr>
      <w:r>
        <w:t>Если Заказом не предусмотрено иное, гарантия на воспроизводимые технические ошибки Сайта составляет 30 календарных дней после приёмки. Гарантия не распространяется на изменения Заказчика, сторонних лиц и сервисов.</w:t>
      </w:r>
    </w:p>
    <w:p>
      <w:pPr>
        <w:pStyle w:val="Heading1"/>
        <w:numPr>
          <w:ilvl w:val="0"/>
          <w:numId w:val="18"/>
        </w:numPr>
      </w:pPr>
      <w:r>
        <w:t>Интеллектуальные права</w:t>
      </w:r>
    </w:p>
    <w:p>
      <w:pPr>
        <w:widowControl/>
        <w:numPr>
          <w:ilvl w:val="1"/>
          <w:numId w:val="18"/>
        </w:numPr>
      </w:pPr>
      <w:r>
        <w:t>Исключительные права на специально созданные для Заказчика оригинальные элементы дизайна, тексты и программный код, прямо перечисленные в Заказе, переходят к Заказчику после полной оплаты соответствующего результата и подписания акта либо наступления приёмки по пункту 8.4.</w:t>
      </w:r>
    </w:p>
    <w:p>
      <w:pPr>
        <w:widowControl/>
        <w:numPr>
          <w:ilvl w:val="1"/>
          <w:numId w:val="18"/>
        </w:numPr>
      </w:pPr>
      <w:r>
        <w:t>Платформа, универсальные шаблоны, библиотеки, инструменты сборки и публикации, Telegram- и AI-редактор, интеграционные модули, автоматизации, алгоритмы, методы и ноу-хау не отчуждаются и сохраняются у Исполнителя.</w:t>
      </w:r>
    </w:p>
    <w:p>
      <w:pPr>
        <w:widowControl/>
        <w:numPr>
          <w:ilvl w:val="1"/>
          <w:numId w:val="18"/>
        </w:numPr>
      </w:pPr>
      <w:r>
        <w:t>На общие компоненты Исполнитель предоставляет Заказчику бессрочную, действующую во всём мире простую (неисключительную) лицензию использовать их только в составе оплаченного Сайта, включая воспроизведение, публичный показ и доведение до всеобщего сведения Сайта.</w:t>
      </w:r>
    </w:p>
    <w:p>
      <w:pPr>
        <w:widowControl/>
        <w:numPr>
          <w:ilvl w:val="1"/>
          <w:numId w:val="18"/>
        </w:numPr>
      </w:pPr>
      <w:r>
        <w:t>Заказчик не вправе отдельно продавать, лицензировать, извлекать или использовать общие компоненты для создания конкурирующей платформы, если письменно не согласовано иное.</w:t>
      </w:r>
    </w:p>
    <w:p>
      <w:pPr>
        <w:widowControl/>
        <w:numPr>
          <w:ilvl w:val="1"/>
          <w:numId w:val="18"/>
        </w:numPr>
      </w:pPr>
      <w:r>
        <w:t>Сторонние библиотеки, шрифты, изображения, карты и сервисы используются по лицензиям их правообладателей. Исполнитель передаёт имеющуюся информацию о существенных ограничениях.</w:t>
      </w:r>
    </w:p>
    <w:p>
      <w:pPr>
        <w:widowControl/>
        <w:numPr>
          <w:ilvl w:val="1"/>
          <w:numId w:val="18"/>
        </w:numPr>
      </w:pPr>
      <w:r>
        <w:t>Права на материалы Заказчика сохраняются у Заказчика. Он предоставляет Исполнителю неисключительное право использовать их в объёме, необходимом для исполнения договора.</w:t>
      </w:r>
    </w:p>
    <w:p>
      <w:pPr>
        <w:pStyle w:val="Heading1"/>
        <w:numPr>
          <w:ilvl w:val="0"/>
          <w:numId w:val="19"/>
        </w:numPr>
      </w:pPr>
      <w:r>
        <w:t>Домен, хостинг и передача результата</w:t>
      </w:r>
    </w:p>
    <w:p>
      <w:pPr>
        <w:widowControl/>
        <w:numPr>
          <w:ilvl w:val="1"/>
          <w:numId w:val="19"/>
        </w:numPr>
      </w:pPr>
      <w:r>
        <w:t>Домен регистрируется на Заказчика или передаётся ему. Заказчик отвечает за корректность регистрационных данных и продление, если это прямо не включено в сопровождение.</w:t>
      </w:r>
    </w:p>
    <w:p>
      <w:pPr>
        <w:widowControl/>
        <w:numPr>
          <w:ilvl w:val="1"/>
          <w:numId w:val="19"/>
        </w:numPr>
      </w:pPr>
      <w:r>
        <w:t>Хостинг размещается на аккаунте Заказчика либо Исполнителя — согласно Заказу. Если используется аккаунт Исполнителя, оплаченный доступ действует в пределах периода сопровождения.</w:t>
      </w:r>
    </w:p>
    <w:p>
      <w:pPr>
        <w:widowControl/>
        <w:numPr>
          <w:ilvl w:val="1"/>
          <w:numId w:val="19"/>
        </w:numPr>
      </w:pPr>
      <w:r>
        <w:t>После полной оплаты и отсутствия задолженности Исполнитель передаёт Заказчику согласованные доступы и доступный для самостоятельного размещения результат в формате, определённом Заказом. Экспорт Платформы, редактора и внутренних инструментов не входит в передачу.</w:t>
      </w:r>
    </w:p>
    <w:p>
      <w:pPr>
        <w:widowControl/>
        <w:numPr>
          <w:ilvl w:val="1"/>
          <w:numId w:val="19"/>
        </w:numPr>
      </w:pPr>
      <w:r>
        <w:t>Перенос на иную инфраструктуру, доработка окружения, миграция данных и настройка стороннего хостинга оплачиваются отдельно, если Заказом не предусмотрено иное.</w:t>
      </w:r>
    </w:p>
    <w:p>
      <w:pPr>
        <w:pStyle w:val="Heading1"/>
        <w:numPr>
          <w:ilvl w:val="0"/>
          <w:numId w:val="20"/>
        </w:numPr>
      </w:pPr>
      <w:r>
        <w:t>Редактор, AI и изменения контента</w:t>
      </w:r>
    </w:p>
    <w:p>
      <w:pPr>
        <w:widowControl/>
        <w:numPr>
          <w:ilvl w:val="1"/>
          <w:numId w:val="20"/>
        </w:numPr>
      </w:pPr>
      <w:r>
        <w:t>Редактор позволяет изменять только предусмотренные блоки и поля. Доступные команды и лимиты определяются тарифом и технической архитектурой Сайта.</w:t>
      </w:r>
    </w:p>
    <w:p>
      <w:pPr>
        <w:widowControl/>
        <w:numPr>
          <w:ilvl w:val="1"/>
          <w:numId w:val="20"/>
        </w:numPr>
      </w:pPr>
      <w:r>
        <w:t>AI-функция формирует предложение, а не окончательное решение. Заказчик проверяет факты, рекламу, цены, права, персональные данные и правовые формулировки до подтверждения публикации.</w:t>
      </w:r>
    </w:p>
    <w:p>
      <w:pPr>
        <w:widowControl/>
        <w:numPr>
          <w:ilvl w:val="1"/>
          <w:numId w:val="20"/>
        </w:numPr>
      </w:pPr>
      <w:r>
        <w:t>Заказчик отвечает за изменения, подтверждённые его уполномоченным аккаунтом. Исполнитель вправе запросить дополнительное подтверждение необычной, массовой или потенциально опасной команды.</w:t>
      </w:r>
    </w:p>
    <w:p>
      <w:pPr>
        <w:widowControl/>
        <w:numPr>
          <w:ilvl w:val="1"/>
          <w:numId w:val="20"/>
        </w:numPr>
      </w:pPr>
      <w:r>
        <w:t>При наличии технической возможности Исполнитель делает резервные копии в пределах тарифа и может восстановить последнюю сохранённую версию. Глубина хранения и срок восстановления не гарантируются без отдельного SLA.</w:t>
      </w:r>
    </w:p>
    <w:p>
      <w:pPr>
        <w:pStyle w:val="Heading1"/>
        <w:numPr>
          <w:ilvl w:val="0"/>
          <w:numId w:val="21"/>
        </w:numPr>
      </w:pPr>
      <w:r>
        <w:t>Заявки и сторонние мессенджеры</w:t>
      </w:r>
    </w:p>
    <w:p>
      <w:pPr>
        <w:widowControl/>
        <w:numPr>
          <w:ilvl w:val="1"/>
          <w:numId w:val="21"/>
        </w:numPr>
      </w:pPr>
      <w:r>
        <w:t>Сайт может передавать заявки в Telegram, WhatsApp, MAX, электронную почту или иной согласованный канал. Заказчик предоставляет рабочий аккаунт, список получателей и необходимые разрешения.</w:t>
      </w:r>
    </w:p>
    <w:p>
      <w:pPr>
        <w:widowControl/>
        <w:numPr>
          <w:ilvl w:val="1"/>
          <w:numId w:val="21"/>
        </w:numPr>
      </w:pPr>
      <w:r>
        <w:t>Мессенджер является самостоятельным сторонним сервисом. Исполнитель не контролирует его доступность, блокировки, API, тарифы, правила и доставку сообщений, но в рамках сопровождения предложит технически доступный способ восстановления или замены.</w:t>
      </w:r>
    </w:p>
    <w:p>
      <w:pPr>
        <w:widowControl/>
        <w:numPr>
          <w:ilvl w:val="1"/>
          <w:numId w:val="21"/>
        </w:numPr>
      </w:pPr>
      <w:r>
        <w:t>Заказчик обязан регулярно проверять канал и резервный способ связи. Отправка уведомления техническим модулем не означает, что сотрудник Заказчика прочитал или обработал заявку.</w:t>
      </w:r>
    </w:p>
    <w:p>
      <w:pPr>
        <w:widowControl/>
        <w:numPr>
          <w:ilvl w:val="1"/>
          <w:numId w:val="21"/>
        </w:numPr>
      </w:pPr>
      <w:r>
        <w:t>Подключение иностранного сервиса, способного повлечь трансграничную передачу персональных данных, производится только после письменного выбора Заказчика и подтверждения им законного основания.</w:t>
      </w:r>
    </w:p>
    <w:p>
      <w:pPr>
        <w:pStyle w:val="Heading1"/>
        <w:numPr>
          <w:ilvl w:val="0"/>
          <w:numId w:val="22"/>
        </w:numPr>
      </w:pPr>
      <w:r>
        <w:t>SEO, AI-индексация, конверсия и скорость</w:t>
      </w:r>
    </w:p>
    <w:p>
      <w:pPr>
        <w:widowControl/>
        <w:numPr>
          <w:ilvl w:val="1"/>
          <w:numId w:val="22"/>
        </w:numPr>
      </w:pPr>
      <w:r>
        <w:t>Исполнитель выполняет согласованную техническую подготовку: семантическую структуру, метаданные, карту сайта, robots.txt, структурированные данные, оптимизацию изображений и производительности.</w:t>
      </w:r>
    </w:p>
    <w:p>
      <w:pPr>
        <w:widowControl/>
        <w:numPr>
          <w:ilvl w:val="1"/>
          <w:numId w:val="22"/>
        </w:numPr>
      </w:pPr>
      <w:r>
        <w:t>Техническая подготовка не является услугой продвижения и не гарантирует индексацию, позиции, трафик, попадание в ответы AI-сервисов, количество обращений, продажи, выручку или конверсию.</w:t>
      </w:r>
    </w:p>
    <w:p>
      <w:pPr>
        <w:widowControl/>
        <w:numPr>
          <w:ilvl w:val="1"/>
          <w:numId w:val="22"/>
        </w:numPr>
      </w:pPr>
      <w:r>
        <w:t>Результаты зависят от конкуренции, контента, ассортимента, цен, репутации, рекламы, действий Заказчика и алгоритмов третьих лиц.</w:t>
      </w:r>
    </w:p>
    <w:p>
      <w:pPr>
        <w:widowControl/>
        <w:numPr>
          <w:ilvl w:val="1"/>
          <w:numId w:val="22"/>
        </w:numPr>
      </w:pPr>
      <w:r>
        <w:t>Показатели скорости зависят от устройства, сети, географии, сторонних скриптов, хостинга и добавленных материалов. Измеримый показатель считается обязательным только если Заказ закрепляет метрику, инструмент, сценарий и дату проверки.</w:t>
      </w:r>
    </w:p>
    <w:p>
      <w:pPr>
        <w:pStyle w:val="Heading1"/>
        <w:numPr>
          <w:ilvl w:val="0"/>
          <w:numId w:val="23"/>
        </w:numPr>
      </w:pPr>
      <w:r>
        <w:t>Персональные данные</w:t>
      </w:r>
    </w:p>
    <w:p>
      <w:pPr>
        <w:widowControl/>
        <w:numPr>
          <w:ilvl w:val="1"/>
          <w:numId w:val="23"/>
        </w:numPr>
      </w:pPr>
      <w:r>
        <w:t>Заказчик является оператором персональных данных посетителей Сайта: определяет цели и состав обработки, правовые основания, сроки хранения, получателей и содержание политики и согласий.</w:t>
      </w:r>
    </w:p>
    <w:p>
      <w:pPr>
        <w:widowControl/>
        <w:numPr>
          <w:ilvl w:val="1"/>
          <w:numId w:val="23"/>
        </w:numPr>
      </w:pPr>
      <w:r>
        <w:t>При доступе к заявкам или инфраструктуре Исполнитель обрабатывает данные по поручению Заказчика исключительно для размещения, технической доставки, резервного копирования, поддержки и защиты Сайта.</w:t>
      </w:r>
    </w:p>
    <w:p>
      <w:pPr>
        <w:widowControl/>
        <w:numPr>
          <w:ilvl w:val="1"/>
          <w:numId w:val="23"/>
        </w:numPr>
      </w:pPr>
      <w:r>
        <w:t>Обязательные условия поручения закреплены в Приложении № 3. Оно применяется, если Заказ предусматривает обработку Исполнителем персональных данных от имени Заказчика.</w:t>
      </w:r>
    </w:p>
    <w:p>
      <w:pPr>
        <w:widowControl/>
        <w:numPr>
          <w:ilvl w:val="1"/>
          <w:numId w:val="23"/>
        </w:numPr>
      </w:pPr>
      <w:r>
        <w:t>Специальные категории и биометрические данные не должны передаваться через Сайт или Исполнителю, если отдельное письменное соглашение не определяет законное основание и специальные меры защиты.</w:t>
      </w:r>
    </w:p>
    <w:p>
      <w:pPr>
        <w:widowControl/>
        <w:numPr>
          <w:ilvl w:val="1"/>
          <w:numId w:val="23"/>
        </w:numPr>
      </w:pPr>
      <w:r>
        <w:t>Каждая Сторона самостоятельно выполняет обязанности, возложенные на неё законом. Исполнитель предоставляет разумно доступную информацию, необходимую Заказчику для контроля порученной обработки.</w:t>
      </w:r>
    </w:p>
    <w:p>
      <w:pPr>
        <w:pStyle w:val="Heading1"/>
        <w:numPr>
          <w:ilvl w:val="0"/>
          <w:numId w:val="24"/>
        </w:numPr>
      </w:pPr>
      <w:r>
        <w:t>Контент, изображения и правовая информация</w:t>
      </w:r>
    </w:p>
    <w:p>
      <w:pPr>
        <w:widowControl/>
        <w:numPr>
          <w:ilvl w:val="1"/>
          <w:numId w:val="24"/>
        </w:numPr>
      </w:pPr>
      <w:r>
        <w:t>Заказчик гарантирует достоверность и законность материалов, наличие прав на тексты, логотипы, товарные знаки, фото и видео и возмещает документально подтверждённые потери Исполнителя из-за нарушения этой гарантии.</w:t>
      </w:r>
    </w:p>
    <w:p>
      <w:pPr>
        <w:widowControl/>
        <w:numPr>
          <w:ilvl w:val="1"/>
          <w:numId w:val="24"/>
        </w:numPr>
      </w:pPr>
      <w:r>
        <w:t>При публикации изображения ребёнка Заказчик подтверждает наличие требуемого согласия законного представителя на съёмку, обнародование и дальнейшее использование изображения.</w:t>
      </w:r>
    </w:p>
    <w:p>
      <w:pPr>
        <w:widowControl/>
        <w:numPr>
          <w:ilvl w:val="1"/>
          <w:numId w:val="24"/>
        </w:numPr>
      </w:pPr>
      <w:r>
        <w:t>Исполнитель не проводит правовую экспертизу деятельности и материалов Заказчика. Шаблоны политики, согласия, cookie-уведомления и иных документов являются технической заготовкой и должны быть заполнены и проверены Заказчиком.</w:t>
      </w:r>
    </w:p>
    <w:p>
      <w:pPr>
        <w:widowControl/>
        <w:numPr>
          <w:ilvl w:val="1"/>
          <w:numId w:val="24"/>
        </w:numPr>
      </w:pPr>
      <w:r>
        <w:t>Заказчик обязан до запуска указать полное наименование, реквизиты, контакты, правила оказания услуг, цены и иные обязательные сведения, применимые к его деятельности.</w:t>
      </w:r>
    </w:p>
    <w:p>
      <w:pPr>
        <w:pStyle w:val="Heading1"/>
        <w:numPr>
          <w:ilvl w:val="0"/>
          <w:numId w:val="25"/>
        </w:numPr>
      </w:pPr>
      <w:r>
        <w:t>Сопровождение и уровень сервиса</w:t>
      </w:r>
    </w:p>
    <w:p>
      <w:pPr>
        <w:widowControl/>
        <w:numPr>
          <w:ilvl w:val="1"/>
          <w:numId w:val="25"/>
        </w:numPr>
      </w:pPr>
      <w:r>
        <w:t>Состав сопровождения, лимит Простых правок, каналы обращений, период оплаты и сроки реакции определяются тарифом или Заказом.</w:t>
      </w:r>
    </w:p>
    <w:p>
      <w:pPr>
        <w:widowControl/>
        <w:numPr>
          <w:ilvl w:val="1"/>
          <w:numId w:val="25"/>
        </w:numPr>
      </w:pPr>
      <w:r>
        <w:t>Без отдельного SLA Исполнитель устраняет воспроизводимые ошибки и выполняет включённые правки в разумный срок с учётом сложности и очереди, но не гарантирует непрерывную доступность 24/7 или фиксированное время реакции.</w:t>
      </w:r>
    </w:p>
    <w:p>
      <w:pPr>
        <w:widowControl/>
        <w:numPr>
          <w:ilvl w:val="1"/>
          <w:numId w:val="25"/>
        </w:numPr>
      </w:pPr>
      <w:r>
        <w:t>Плановые работы по возможности выполняются в часы наименьшей нагрузки. О существенных плановых перерывах Исполнитель уведомляет заранее.</w:t>
      </w:r>
    </w:p>
    <w:p>
      <w:pPr>
        <w:widowControl/>
        <w:numPr>
          <w:ilvl w:val="1"/>
          <w:numId w:val="25"/>
        </w:numPr>
      </w:pPr>
      <w:r>
        <w:t>Изменения стороннего сервиса, требующие переработки интеграции, оцениваются отдельно, если тариф прямо не включает такие обновления.</w:t>
      </w:r>
    </w:p>
    <w:p>
      <w:pPr>
        <w:pStyle w:val="Heading1"/>
        <w:numPr>
          <w:ilvl w:val="0"/>
          <w:numId w:val="26"/>
        </w:numPr>
      </w:pPr>
      <w:r>
        <w:t>Ответственность</w:t>
      </w:r>
    </w:p>
    <w:p>
      <w:pPr>
        <w:widowControl/>
        <w:numPr>
          <w:ilvl w:val="1"/>
          <w:numId w:val="26"/>
        </w:numPr>
      </w:pPr>
      <w:r>
        <w:t>Сторона возмещает другой стороне документально подтверждённый реальный ущерб, причинённый виновным нарушением. Упущенная выгода не возмещается, если иное прямо не установлено законом.</w:t>
      </w:r>
    </w:p>
    <w:p>
      <w:pPr>
        <w:widowControl/>
        <w:numPr>
          <w:ilvl w:val="1"/>
          <w:numId w:val="26"/>
        </w:numPr>
      </w:pPr>
      <w:r>
        <w:t>Совокупная ответственность Исполнителя по Заказу ограничена суммой, фактически полученной по нему за 6 месяцев до события. Ограничение не применяется к умышленному нарушению, конфиденциальности, интеллектуальным правам и ответственности, которую закон запрещает ограничивать.</w:t>
      </w:r>
    </w:p>
    <w:p>
      <w:pPr>
        <w:widowControl/>
        <w:numPr>
          <w:ilvl w:val="1"/>
          <w:numId w:val="26"/>
        </w:numPr>
      </w:pPr>
      <w:r>
        <w:t>Исполнитель не отвечает за сбои связи, домена, хостинга или сторонних сервисов; несанкционированные изменения и потерю доступов Заказчиком; последствия недостоверного или незаконного контента; достижение коммерческих, SEO- или AI-показателей.</w:t>
      </w:r>
    </w:p>
    <w:p>
      <w:pPr>
        <w:widowControl/>
        <w:numPr>
          <w:ilvl w:val="1"/>
          <w:numId w:val="26"/>
        </w:numPr>
      </w:pPr>
      <w:r>
        <w:t>Заказчик обязан принять разумные меры к уменьшению убытков и сообщить о проблеме без неоправданной задержки, приложив данные для воспроизведения.</w:t>
      </w:r>
    </w:p>
    <w:p>
      <w:pPr>
        <w:pStyle w:val="Heading1"/>
        <w:numPr>
          <w:ilvl w:val="0"/>
          <w:numId w:val="27"/>
        </w:numPr>
      </w:pPr>
      <w:r>
        <w:t>Срок действия и прекращение</w:t>
      </w:r>
    </w:p>
    <w:p>
      <w:pPr>
        <w:widowControl/>
        <w:numPr>
          <w:ilvl w:val="1"/>
          <w:numId w:val="27"/>
        </w:numPr>
      </w:pPr>
      <w:r>
        <w:t>Договор действует с даты подписания до исполнения разового Заказа, а в части сопровождения — до прекращения по настоящему разделу. Условия о правах, конфиденциальности, данных, расчётах и ответственности сохраняются после прекращения в необходимом объёме.</w:t>
      </w:r>
    </w:p>
    <w:p>
      <w:pPr>
        <w:widowControl/>
        <w:numPr>
          <w:ilvl w:val="1"/>
          <w:numId w:val="27"/>
        </w:numPr>
      </w:pPr>
      <w:r>
        <w:t>Заказчик вправе отказаться от услуг, письменно уведомив Исполнителя и оплатив выполненную часть и фактически понесённые расходы. Неиспользованный аванс возвращается после расчёта.</w:t>
      </w:r>
    </w:p>
    <w:p>
      <w:pPr>
        <w:widowControl/>
        <w:numPr>
          <w:ilvl w:val="1"/>
          <w:numId w:val="27"/>
        </w:numPr>
      </w:pPr>
      <w:r>
        <w:t>Исполнитель вправе отказаться от исполнения в случаях и на условиях, допускаемых законом, уведомив Заказчика, прекратив обработку новых поручений и передав оплаченный результат.</w:t>
      </w:r>
    </w:p>
    <w:p>
      <w:pPr>
        <w:widowControl/>
        <w:numPr>
          <w:ilvl w:val="1"/>
          <w:numId w:val="27"/>
        </w:numPr>
      </w:pPr>
      <w:r>
        <w:t>Периодическое сопровождение может быть прекращено любой Стороной уведомлением за 30 календарных дней, если Заказ не предусматривает более короткий срок.</w:t>
      </w:r>
    </w:p>
    <w:p>
      <w:pPr>
        <w:widowControl/>
        <w:numPr>
          <w:ilvl w:val="1"/>
          <w:numId w:val="27"/>
        </w:numPr>
      </w:pPr>
      <w:r>
        <w:t>При прекращении Заказчик оплачивает задолженность, а Исполнитель передаёт доступный оплаченный результат и действует с персональными данными по Приложению № 3.</w:t>
      </w:r>
    </w:p>
    <w:p>
      <w:pPr>
        <w:pStyle w:val="Heading1"/>
        <w:numPr>
          <w:ilvl w:val="0"/>
          <w:numId w:val="28"/>
        </w:numPr>
      </w:pPr>
      <w:r>
        <w:t>Электронное взаимодействие</w:t>
      </w:r>
    </w:p>
    <w:p>
      <w:pPr>
        <w:widowControl/>
        <w:numPr>
          <w:ilvl w:val="1"/>
          <w:numId w:val="28"/>
        </w:numPr>
      </w:pPr>
      <w:r>
        <w:t>Стороны признают юридическую силу сообщений, файлов, согласований, уведомлений и электронных копий документов, направленных с указанных ими адресов электронной почты и аккаунтов в согласованных мессенджерах.</w:t>
      </w:r>
    </w:p>
    <w:p>
      <w:pPr>
        <w:widowControl/>
        <w:numPr>
          <w:ilvl w:val="1"/>
          <w:numId w:val="28"/>
        </w:numPr>
      </w:pPr>
      <w:r>
        <w:t>Простая электронная подпись обеспечивается доступом к адресу или аккаунту, известному Сторонам. Получатель вправе запросить дополнительное подтверждение необычной или существенной команды.</w:t>
      </w:r>
    </w:p>
    <w:p>
      <w:pPr>
        <w:widowControl/>
        <w:numPr>
          <w:ilvl w:val="1"/>
          <w:numId w:val="28"/>
        </w:numPr>
      </w:pPr>
      <w:r>
        <w:t>Сторона сообщает об изменении контакта или компрометации доступа не позднее следующего Рабочего дня. До уведомления действия с известного контакта считаются совершёнными уполномоченным лицом, если получатель не знал об обратном.</w:t>
      </w:r>
    </w:p>
    <w:p>
      <w:pPr>
        <w:widowControl/>
        <w:numPr>
          <w:ilvl w:val="1"/>
          <w:numId w:val="28"/>
        </w:numPr>
      </w:pPr>
      <w:r>
        <w:t>Электронные данные, журналы, переписка, платёжные документы и сведения системы публикации могут использоваться как доказательства взаимодействия и исполнения.</w:t>
      </w:r>
    </w:p>
    <w:p>
      <w:pPr>
        <w:pStyle w:val="Heading1"/>
        <w:numPr>
          <w:ilvl w:val="0"/>
          <w:numId w:val="29"/>
        </w:numPr>
      </w:pPr>
      <w:r>
        <w:t>Конфиденциальность</w:t>
      </w:r>
    </w:p>
    <w:p>
      <w:pPr>
        <w:widowControl/>
        <w:numPr>
          <w:ilvl w:val="1"/>
          <w:numId w:val="29"/>
        </w:numPr>
      </w:pPr>
      <w:r>
        <w:t>Конфиденциальной является непубличная коммерческая, техническая и организационная информация, доступы, материалы до публикации, цены индивидуального Заказа и сведения, обозначенные как конфиденциальные.</w:t>
      </w:r>
    </w:p>
    <w:p>
      <w:pPr>
        <w:widowControl/>
        <w:numPr>
          <w:ilvl w:val="1"/>
          <w:numId w:val="29"/>
        </w:numPr>
      </w:pPr>
      <w:r>
        <w:t>Получающая Сторона использует информацию только для договора, ограничивает доступ и не раскрывает её третьим лицам, кроме работников, подрядчиков, консультантов и государственных органов при наличии необходимости и обязанности сохранять конфиденциальность.</w:t>
      </w:r>
    </w:p>
    <w:p>
      <w:pPr>
        <w:widowControl/>
        <w:numPr>
          <w:ilvl w:val="1"/>
          <w:numId w:val="29"/>
        </w:numPr>
      </w:pPr>
      <w:r>
        <w:t>Обязательство не распространяется на сведения, которые были общедоступными, законно получены от третьего лица, независимо разработаны или должны быть раскрыты по закону.</w:t>
      </w:r>
    </w:p>
    <w:p>
      <w:pPr>
        <w:widowControl/>
        <w:numPr>
          <w:ilvl w:val="1"/>
          <w:numId w:val="29"/>
        </w:numPr>
      </w:pPr>
      <w:r>
        <w:t>Срок конфиденциальности — 3 года после прекращения договора, а для доступов, персональных данных и охраняемых секретов — пока информация сохраняет соответствующий статус.</w:t>
      </w:r>
    </w:p>
    <w:p>
      <w:pPr>
        <w:pStyle w:val="Heading1"/>
        <w:numPr>
          <w:ilvl w:val="0"/>
          <w:numId w:val="30"/>
        </w:numPr>
      </w:pPr>
      <w:r>
        <w:t>Обстоятельства непреодолимой силы</w:t>
      </w:r>
    </w:p>
    <w:p>
      <w:pPr>
        <w:widowControl/>
        <w:numPr>
          <w:ilvl w:val="1"/>
          <w:numId w:val="30"/>
        </w:numPr>
      </w:pPr>
      <w:r>
        <w:t>Сторона освобождается от ответственности за нарушение, вызванное чрезвычайным и непредотвратимым обстоятельством вне её разумного контроля, включая стихийные бедствия, военные действия, массовые аварии, обязательные акты органов власти и масштабные сбои инфраструктуры.</w:t>
      </w:r>
    </w:p>
    <w:p>
      <w:pPr>
        <w:widowControl/>
        <w:numPr>
          <w:ilvl w:val="1"/>
          <w:numId w:val="30"/>
        </w:numPr>
      </w:pPr>
      <w:r>
        <w:t>Затронутая Сторона уведомляет другую Сторону в разумный срок и предоставляет доступные подтверждения. Срок исполнения продлевается на период действия обстоятельства и его последствий.</w:t>
      </w:r>
    </w:p>
    <w:p>
      <w:pPr>
        <w:widowControl/>
        <w:numPr>
          <w:ilvl w:val="1"/>
          <w:numId w:val="30"/>
        </w:numPr>
      </w:pPr>
      <w:r>
        <w:t>Если обстоятельство длится более 30 календарных дней и лишает договор практического смысла, любая Сторона вправе прекратить неисполненную часть с оплатой фактически исполненного и расходов.</w:t>
      </w:r>
    </w:p>
    <w:p>
      <w:pPr>
        <w:pStyle w:val="Heading1"/>
        <w:numPr>
          <w:ilvl w:val="0"/>
          <w:numId w:val="31"/>
        </w:numPr>
      </w:pPr>
      <w:r>
        <w:t>Споры и заключительные положения</w:t>
      </w:r>
    </w:p>
    <w:p>
      <w:pPr>
        <w:widowControl/>
        <w:numPr>
          <w:ilvl w:val="1"/>
          <w:numId w:val="31"/>
        </w:numPr>
      </w:pPr>
      <w:r>
        <w:t>К договору применяется право Российской Федерации. До обращения в суд Сторона направляет письменную претензию; срок ответа — 15 Рабочих дней с даты получения.</w:t>
      </w:r>
    </w:p>
    <w:p>
      <w:pPr>
        <w:widowControl/>
        <w:numPr>
          <w:ilvl w:val="1"/>
          <w:numId w:val="31"/>
        </w:numPr>
      </w:pPr>
      <w:r>
        <w:t>Нерешённый спор рассматривается арбитражным судом по месту нахождения Исполнителя, если императивная норма закона не устанавливает иную подсудность.</w:t>
      </w:r>
    </w:p>
    <w:p>
      <w:pPr>
        <w:widowControl/>
        <w:numPr>
          <w:ilvl w:val="1"/>
          <w:numId w:val="31"/>
        </w:numPr>
      </w:pPr>
      <w:r>
        <w:t>Заказ, приложения, согласованная переписка и акт являются частью договора. При расхождении индивидуальный Заказ имеет приоритет перед общими условиями в части предмета, цены, сроков и тарифа.</w:t>
      </w:r>
    </w:p>
    <w:p>
      <w:pPr>
        <w:widowControl/>
        <w:numPr>
          <w:ilvl w:val="1"/>
          <w:numId w:val="31"/>
        </w:numPr>
      </w:pPr>
      <w:r>
        <w:t>Изменения действуют в письменной форме, включая электронные сообщения уполномоченных представителей, если из них ясно содержание согласованного изменения.</w:t>
      </w:r>
    </w:p>
    <w:p>
      <w:pPr>
        <w:widowControl/>
        <w:numPr>
          <w:ilvl w:val="1"/>
          <w:numId w:val="31"/>
        </w:numPr>
      </w:pPr>
      <w:r>
        <w:t>Недействительность отдельного условия не влияет на остальные. Заголовки служат для удобства и не изменяют смысл.</w:t>
      </w:r>
    </w:p>
    <w:p>
      <w:pPr>
        <w:widowControl/>
        <w:numPr>
          <w:ilvl w:val="1"/>
          <w:numId w:val="31"/>
        </w:numPr>
      </w:pPr>
      <w:r>
        <w:t>Договор составлен в двух экземплярах равной юридической силы либо заключён в электронной форме в соответствии с разделом 19.</w:t>
      </w:r>
    </w:p>
    <w:p>
      <w:pPr>
        <w:keepNext/>
        <w:spacing w:after="100"/>
      </w:pPr>
      <w:r>
        <w:rPr>
          <w:rFonts w:ascii="Calibri" w:hAnsi="Calibri" w:eastAsia="Calibri"/>
          <w:b/>
          <w:i w:val="0"/>
          <w:smallCaps/>
          <w:color w:val="2E5BFF"/>
          <w:sz w:val="17"/>
        </w:rPr>
        <w:t>РЕКВИЗИТЫ И ПОДПИСИ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824"/>
            <w:tcMar>
              <w:top w:w="150" w:type="dxa"/>
              <w:start w:w="160" w:type="dxa"/>
              <w:bottom w:w="160" w:type="dxa"/>
              <w:end w:w="160" w:type="dxa"/>
            </w:tcMar>
            <w:tcBorders>
              <w:top w:val="single" w:sz="6" w:color="D8DEDA"/>
              <w:bottom w:val="single" w:sz="6" w:color="D8DEDA"/>
              <w:start w:val="single" w:sz="6" w:color="D8DEDA"/>
              <w:end w:val="single" w:sz="6" w:color="D8DEDA"/>
            </w:tcBorders>
            <w:vAlign w:val="top"/>
            <w:shd w:fill="EAF0FF"/>
          </w:tcPr>
          <w:p>
            <w:r>
              <w:rPr>
                <w:rFonts w:ascii="Calibri" w:hAnsi="Calibri" w:eastAsia="Calibri"/>
                <w:b/>
                <w:i w:val="0"/>
                <w:color w:val="2E5BFF"/>
                <w:sz w:val="18"/>
              </w:rPr>
              <w:t>ИСПОЛНИТЕЛЬ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ООО «Аирхоп»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ИНН 7700000000 · КПП 770001001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ОГРН 1007700000000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123456, г. Москва, ул. Примерная, д. 1, офис 1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р/с 40702 810 0 0000 0000000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АО «Демонстрационный банк»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БИК 044500000 · к/с 30101 810 0 0000 0000000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legal@airhop.example · +7 (000) 000-00-00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Генеральный директор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 / И.И. Иванов /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М.П. (при наличии)</w:t>
            </w:r>
          </w:p>
        </w:tc>
        <w:tc>
          <w:tcPr>
            <w:tcW w:type="dxa" w:w="4824"/>
            <w:tcMar>
              <w:top w:w="150" w:type="dxa"/>
              <w:start w:w="160" w:type="dxa"/>
              <w:bottom w:w="160" w:type="dxa"/>
              <w:end w:w="160" w:type="dxa"/>
            </w:tcMar>
            <w:tcBorders>
              <w:top w:val="single" w:sz="6" w:color="D8DEDA"/>
              <w:bottom w:val="single" w:sz="6" w:color="D8DEDA"/>
              <w:start w:val="single" w:sz="6" w:color="D8DEDA"/>
              <w:end w:val="single" w:sz="6" w:color="D8DEDA"/>
            </w:tcBorders>
            <w:vAlign w:val="top"/>
          </w:tcPr>
          <w:p>
            <w:r>
              <w:rPr>
                <w:rFonts w:ascii="Calibri" w:hAnsi="Calibri" w:eastAsia="Calibri"/>
                <w:b/>
                <w:i w:val="0"/>
                <w:color w:val="2E5BFF"/>
                <w:sz w:val="18"/>
              </w:rPr>
              <w:t>ЗАКАЗЧИК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Наименование: __________________________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ИНН / КПП: ____________________________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ОГРН / ОГРНИП: ________________________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Адрес: _________________________________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р/с: ___________________________________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Банк: __________________________________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БИК / к/с: ______________________________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Email / телефон: _________________________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Должность: ______________________________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 / __________________ /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М.П. (при наличии)</w:t>
            </w:r>
          </w:p>
        </w:tc>
      </w:tr>
    </w:tbl>
    <w:p>
      <w:r>
        <w:br w:type="page"/>
      </w:r>
    </w:p>
    <w:p>
      <w:pPr>
        <w:spacing w:after="80"/>
        <w:jc w:val="right"/>
      </w:pPr>
      <w:r>
        <w:rPr>
          <w:rFonts w:ascii="Calibri" w:hAnsi="Calibri" w:eastAsia="Calibri"/>
          <w:b/>
          <w:i w:val="0"/>
          <w:color w:val="2E5BFF"/>
          <w:sz w:val="17"/>
        </w:rPr>
        <w:t>ПРИЛОЖЕНИЕ № 1</w:t>
      </w:r>
    </w:p>
    <w:p>
      <w:pPr>
        <w:pStyle w:val="Title"/>
        <w:jc w:val="left"/>
      </w:pPr>
      <w:r>
        <w:t>Заказ / спецификация</w:t>
      </w:r>
    </w:p>
    <w:p>
      <w:pPr>
        <w:spacing w:after="280"/>
      </w:pPr>
      <w:r>
        <w:rPr>
          <w:rFonts w:ascii="Calibri" w:hAnsi="Calibri" w:eastAsia="Calibri"/>
          <w:b w:val="0"/>
          <w:i w:val="0"/>
          <w:color w:val="5E6762"/>
          <w:sz w:val="18"/>
        </w:rPr>
        <w:t>к договору № ____ от «___» __________ 2026 г.</w:t>
      </w:r>
    </w:p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EAF0FF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6" w:color="EAF0FF"/>
              <w:bottom w:val="single" w:sz="6" w:color="EAF0FF"/>
              <w:start w:val="single" w:sz="6" w:color="EAF0FF"/>
              <w:end w:val="single" w:sz="6" w:color="EAF0FF"/>
            </w:tcBorders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83B7A"/>
                <w:sz w:val="18"/>
              </w:rPr>
              <w:t>Как использовать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183B7A"/>
                <w:sz w:val="18"/>
              </w:rPr>
              <w:t>Заполните все значимые параметры. Пустой или двусмысленный пункт считается не включённым в Заказ.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Заказчик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____________________________________________________________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Проект / домен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____________________________________________________________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Тариф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□ Готовый сайт   □ Сайт + редактор   □ Запуск + 24/36 месяцев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Цена запуска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________________ руб., в том числе вознаграждение за права: __________ руб.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Сопровождение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 руб. / месяц; период: 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Срок запуска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 Рабочих дней после оплаты и получения материалов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Хостинг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□ аккаунт Заказчика   □ аккаунт Исполнителя   □ иной: 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Домен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□ регистрирует Заказчик   □ помогает Исполнитель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Канал заявок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□ Telegram   □ WhatsApp   □ MAX   □ Email   □ иной: 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Редактор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□ нет   □ Telegram   □ иной: _________________________________</w:t>
            </w:r>
          </w:p>
        </w:tc>
      </w:tr>
    </w:tbl>
    <w:p>
      <w:pPr>
        <w:keepNext/>
        <w:spacing w:after="100"/>
      </w:pPr>
      <w:r>
        <w:rPr>
          <w:rFonts w:ascii="Calibri" w:hAnsi="Calibri" w:eastAsia="Calibri"/>
          <w:b/>
          <w:i w:val="0"/>
          <w:smallCaps/>
          <w:color w:val="2E5BFF"/>
          <w:sz w:val="17"/>
        </w:rPr>
        <w:t>СТРАНИЦЫ И ФУНКЦИИ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rPr>
          <w:tblHeader w:val="true"/>
        </w:trP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2E5BFF"/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№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2E5BFF"/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Страница / функция</w:t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2E5BFF"/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Что входит</w:t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2E5BFF"/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Критерий готовности</w:t>
            </w:r>
          </w:p>
        </w:tc>
      </w:tr>
      <w:t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1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</w:tr>
      <w:t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2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</w:tr>
      <w:t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3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</w:tr>
      <w:t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4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</w:tr>
      <w:t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5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</w:tr>
      <w:t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6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</w:tr>
      <w:t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7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</w:tr>
      <w:tr>
        <w:tc>
          <w:tcPr>
            <w:tcW w:type="dxa" w:w="54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8</w:t>
            </w:r>
          </w:p>
        </w:tc>
        <w:tc>
          <w:tcPr>
            <w:tcW w:type="dxa" w:w="23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367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  <w:tc>
          <w:tcPr>
            <w:tcW w:type="dxa" w:w="2837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</w:r>
          </w:p>
        </w:tc>
      </w:tr>
    </w:tbl>
    <w:p>
      <w:pPr>
        <w:keepNext/>
        <w:spacing w:after="100"/>
      </w:pPr>
      <w:r>
        <w:rPr>
          <w:rFonts w:ascii="Calibri" w:hAnsi="Calibri" w:eastAsia="Calibri"/>
          <w:b/>
          <w:i w:val="0"/>
          <w:smallCaps/>
          <w:color w:val="2E5BFF"/>
          <w:sz w:val="17"/>
        </w:rPr>
        <w:t>МАТЕРИАЛЫ И СОГЛАСОВАНИЯ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Материалы Заказчика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Логотип, реквизиты, услуги, цены, расписание, контакты, тексты, фото, политика и согласия.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Лимит включённых правок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 раунд(а) / _____ Простых правок в месяц.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Уполномоченный контакт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ФИО, email, аккаунт: __________________________________________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Особые требования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____________________________________________________________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Метрика скорости / SLA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Не применяется, если ниже не указаны инструмент, сценарий и целевое значение: ______________________________</w:t>
            </w:r>
          </w:p>
        </w:tc>
      </w:tr>
    </w:tbl>
    <w:p>
      <w:pPr>
        <w:spacing w:before="240"/>
      </w:pPr>
      <w:r>
        <w:t>ИСПОЛНИТЕЛЬ: ______________ / И.И. Иванов /     ЗАКАЗЧИК: ______________ / __________________ /</w:t>
      </w:r>
    </w:p>
    <w:p>
      <w:r>
        <w:br w:type="page"/>
      </w:r>
    </w:p>
    <w:p>
      <w:pPr>
        <w:spacing w:after="80"/>
        <w:jc w:val="right"/>
      </w:pPr>
      <w:r>
        <w:rPr>
          <w:rFonts w:ascii="Calibri" w:hAnsi="Calibri" w:eastAsia="Calibri"/>
          <w:b/>
          <w:i w:val="0"/>
          <w:color w:val="2E5BFF"/>
          <w:sz w:val="17"/>
        </w:rPr>
        <w:t>ПРИЛОЖЕНИЕ № 2</w:t>
      </w:r>
    </w:p>
    <w:p>
      <w:pPr>
        <w:pStyle w:val="Title"/>
        <w:jc w:val="left"/>
      </w:pPr>
      <w:r>
        <w:t>Тарифы и границы работ</w:t>
      </w:r>
    </w:p>
    <w:p>
      <w:pPr>
        <w:spacing w:after="280"/>
      </w:pPr>
      <w:r>
        <w:rPr>
          <w:rFonts w:ascii="Calibri" w:hAnsi="Calibri" w:eastAsia="Calibri"/>
          <w:b w:val="0"/>
          <w:i w:val="0"/>
          <w:color w:val="5E6762"/>
          <w:sz w:val="18"/>
        </w:rPr>
        <w:t>к договору № ____ от «___» __________ 2026 г.</w:t>
      </w:r>
    </w:p>
    <w:p>
      <w:r>
        <w:t>Цены ниже — ориентиры для формирования Заказа. Юридически значимы цена и состав, указанные в подписанном Заказе или оплаченном счёте.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rPr>
          <w:tblHeader w:val="true"/>
        </w:trPr>
        <w:tc>
          <w:tcPr>
            <w:tcW w:type="dxa" w:w="180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2E5BFF"/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Тариф</w:t>
            </w:r>
          </w:p>
        </w:tc>
        <w:tc>
          <w:tcPr>
            <w:tcW w:type="dxa" w:w="194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2E5BFF"/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Запуск</w:t>
            </w:r>
          </w:p>
        </w:tc>
        <w:tc>
          <w:tcPr>
            <w:tcW w:type="dxa" w:w="201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2E5BFF"/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Сопровождение</w:t>
            </w:r>
          </w:p>
        </w:tc>
        <w:tc>
          <w:tcPr>
            <w:tcW w:type="dxa" w:w="360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2E5BFF"/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Подходит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Готовый сайт</w:t>
            </w:r>
          </w:p>
        </w:tc>
        <w:tc>
          <w:tcPr>
            <w:tcW w:type="dxa" w:w="194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9 900–14 900 ₽ однократно</w:t>
            </w:r>
          </w:p>
        </w:tc>
        <w:tc>
          <w:tcPr>
            <w:tcW w:type="dxa" w:w="201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Не включено или отдельно</w:t>
            </w:r>
          </w:p>
        </w:tc>
        <w:tc>
          <w:tcPr>
            <w:tcW w:type="dxa" w:w="360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Нужен быстрый запуск и самостоятельное владение результатом.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Сайт + редактор</w:t>
            </w:r>
          </w:p>
        </w:tc>
        <w:tc>
          <w:tcPr>
            <w:tcW w:type="dxa" w:w="194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От 9 900 ₽</w:t>
            </w:r>
          </w:p>
        </w:tc>
        <w:tc>
          <w:tcPr>
            <w:tcW w:type="dxa" w:w="201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490–990 ₽ / месяц</w:t>
            </w:r>
          </w:p>
        </w:tc>
        <w:tc>
          <w:tcPr>
            <w:tcW w:type="dxa" w:w="360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Нужно просто менять контент и получать заявки в мессенджер.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На несколько лет</w:t>
            </w:r>
          </w:p>
        </w:tc>
        <w:tc>
          <w:tcPr>
            <w:tcW w:type="dxa" w:w="194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По Заказу</w:t>
            </w:r>
          </w:p>
        </w:tc>
        <w:tc>
          <w:tcPr>
            <w:tcW w:type="dxa" w:w="201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24 или 36 месяцев включены</w:t>
            </w:r>
          </w:p>
        </w:tc>
        <w:tc>
          <w:tcPr>
            <w:tcW w:type="dxa" w:w="360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Нужна понятная общая стоимость и длительная техническая поддержка.</w:t>
            </w:r>
          </w:p>
        </w:tc>
      </w:tr>
    </w:tbl>
    <w:p>
      <w:pPr>
        <w:keepNext/>
        <w:spacing w:after="100"/>
      </w:pPr>
      <w:r>
        <w:rPr>
          <w:rFonts w:ascii="Calibri" w:hAnsi="Calibri" w:eastAsia="Calibri"/>
          <w:b/>
          <w:i w:val="0"/>
          <w:smallCaps/>
          <w:color w:val="2E5BFF"/>
          <w:sz w:val="17"/>
        </w:rPr>
        <w:t>ОБЫЧНО ВКЛЮЧЕНО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Готовая основа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Адаптация существующей архитектуры вместо разработки с нуля.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Техническое SEO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Метаданные, структура, sitemap.xml, robots.txt, базовая микроразметка.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Конверсионная структура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Понятный оффер, доказательства, услуги, тарифы, FAQ и форма заявки — без гарантии показателя конверсии.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Контент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Простая замена текстов, цен, расписания, фото и контактов в пределах тарифа.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Заявки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Техническая доставка в выбранный доступный канал; обработка заявки остаётся обязанностью Заказчика.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Передача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Домен и оплаченный индивидуальный результат — Заказчику; Платформа и общие модули не отчуждаются.</w:t>
            </w:r>
          </w:p>
        </w:tc>
      </w:tr>
    </w:tbl>
    <w:p>
      <w:pPr>
        <w:keepNext/>
        <w:spacing w:after="100"/>
      </w:pPr>
      <w:r>
        <w:rPr>
          <w:rFonts w:ascii="Calibri" w:hAnsi="Calibri" w:eastAsia="Calibri"/>
          <w:b/>
          <w:i w:val="0"/>
          <w:smallCaps/>
          <w:color w:val="2E5BFF"/>
          <w:sz w:val="17"/>
        </w:rPr>
        <w:t>ВСЕГДА ОЦЕНИВАЕТСЯ ОТДЕЛЬНО</w:t>
      </w:r>
    </w:p>
    <w:p>
      <w:pPr>
        <w:spacing w:after="200"/>
      </w:pPr>
      <w:r>
        <w:t>Новая дизайн-концепция; нестандартные страницы; каталог; личный кабинет; онлайн-оплата; CRM и телефония; массовый перенос контента; копирайтинг; фото- и видеосъёмка; юридическая экспертиза; реклама; SEO-продвижение; интеграция, отсутствующая в Заказе.</w:t>
      </w:r>
    </w:p>
    <w:p>
      <w:r>
        <w:br w:type="page"/>
      </w:r>
    </w:p>
    <w:p>
      <w:pPr>
        <w:spacing w:after="80"/>
        <w:jc w:val="right"/>
      </w:pPr>
      <w:r>
        <w:rPr>
          <w:rFonts w:ascii="Calibri" w:hAnsi="Calibri" w:eastAsia="Calibri"/>
          <w:b/>
          <w:i w:val="0"/>
          <w:color w:val="2E5BFF"/>
          <w:sz w:val="17"/>
        </w:rPr>
        <w:t>ПРИЛОЖЕНИЕ № 3</w:t>
      </w:r>
    </w:p>
    <w:p>
      <w:pPr>
        <w:pStyle w:val="Title"/>
        <w:jc w:val="left"/>
      </w:pPr>
      <w:r>
        <w:t>Поручение на обработку персональных данных</w:t>
      </w:r>
    </w:p>
    <w:p>
      <w:pPr>
        <w:spacing w:after="280"/>
      </w:pPr>
      <w:r>
        <w:rPr>
          <w:rFonts w:ascii="Calibri" w:hAnsi="Calibri" w:eastAsia="Calibri"/>
          <w:b w:val="0"/>
          <w:i w:val="0"/>
          <w:color w:val="5E6762"/>
          <w:sz w:val="18"/>
        </w:rPr>
        <w:t>к договору № ____ от «___» __________ 2026 г.</w:t>
      </w:r>
    </w:p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EAF0FF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6" w:color="EAF0FF"/>
              <w:bottom w:val="single" w:sz="6" w:color="EAF0FF"/>
              <w:start w:val="single" w:sz="6" w:color="EAF0FF"/>
              <w:end w:val="single" w:sz="6" w:color="EAF0FF"/>
            </w:tcBorders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83B7A"/>
                <w:sz w:val="18"/>
              </w:rPr>
              <w:t>Роли сторон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i w:val="0"/>
                <w:color w:val="183B7A"/>
                <w:sz w:val="18"/>
              </w:rPr>
              <w:t>Заказчик — оператор персональных данных посетителей своего сайта. Исполнитель — лицо, обрабатывающее данные по поручению Заказчика в объёме, необходимом для работы сайта и поддержки.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Цели обработки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Приём обращения через Сайт; техническая доставка уполномоченному получателю; размещение и эксплуатация Сайта; резервное копирование; диагностика, защита и устранение ошибок.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Категории субъектов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Посетители Сайта, представители потенциальных и действующих клиентов Заказчика, отправившие форму или сообщение.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Перечень данных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Имя; номер телефона; email; идентификатор/контакт в мессенджере; содержание обращения; выбранная услуга; возраст ребёнка — только если поле необходимо и законно; технические данные запроса. Специальные категории и биометрические данные запрещены.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Операции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Сбор, запись, систематизация, накопление, хранение, уточнение, извлечение, использование для технической доставки, предоставление указанному Заказчиком получателю или подрядчику, блокирование, удаление, уничтожение.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Способ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Автоматизированная обработка и, когда необходимо для поддержки, смешанная обработка.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Срок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В течение договора и не более 30 календарных дней после прекращения, если более короткий срок не установлен инструкцией Заказчика или более длительный срок не требуется законом.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Территория и сервисы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Российская Федерация и согласованная инфраструктура. Иностранный сервис или трансграничная передача — только по письменному указанию Заказчика после подтверждения законного основания.</w:t>
            </w:r>
          </w:p>
        </w:tc>
      </w:tr>
    </w:tbl>
    <w:p>
      <w:pPr>
        <w:keepNext/>
        <w:spacing w:after="100"/>
      </w:pPr>
      <w:r>
        <w:rPr>
          <w:rFonts w:ascii="Calibri" w:hAnsi="Calibri" w:eastAsia="Calibri"/>
          <w:b/>
          <w:i w:val="0"/>
          <w:smallCaps/>
          <w:color w:val="2E5BFF"/>
          <w:sz w:val="17"/>
        </w:rPr>
        <w:t>ОБЯЗАННОСТИ ИСПОЛНИТЕЛЯ</w:t>
      </w:r>
    </w:p>
    <w:p>
      <w:pPr>
        <w:pStyle w:val="ListBullet"/>
        <w:spacing w:after="80"/>
        <w:ind w:left="432" w:hanging="259"/>
      </w:pPr>
      <w:r>
        <w:t>Обрабатывать данные только по документированным указаниям Заказчика и не определять собственные несовместимые цели.</w:t>
      </w:r>
    </w:p>
    <w:p>
      <w:pPr>
        <w:pStyle w:val="ListBullet"/>
        <w:spacing w:after="80"/>
        <w:ind w:left="432" w:hanging="259"/>
      </w:pPr>
      <w:r>
        <w:t>Соблюдать конфиденциальность; допускать только лиц, которым доступ необходим для договора и которые приняли обязательство конфиденциальности.</w:t>
      </w:r>
    </w:p>
    <w:p>
      <w:pPr>
        <w:pStyle w:val="ListBullet"/>
        <w:spacing w:after="80"/>
        <w:ind w:left="432" w:hanging="259"/>
      </w:pPr>
      <w:r>
        <w:t>Принимать необходимые правовые, организационные и технические меры защиты с учётом характера данных, рисков и применимых требований; управлять доступом, журналированием, обновлениями, резервным копированием и реагированием на инциденты в разумно применимом объёме.</w:t>
      </w:r>
    </w:p>
    <w:p>
      <w:pPr>
        <w:pStyle w:val="ListBullet"/>
        <w:spacing w:after="80"/>
        <w:ind w:left="432" w:hanging="259"/>
      </w:pPr>
      <w:r>
        <w:t>Привлекать субобработчика при условии возложения сопоставимых обязанностей и информирования Заказчика о существенном изменении состава согласованных сервисов.</w:t>
      </w:r>
    </w:p>
    <w:p>
      <w:pPr>
        <w:pStyle w:val="ListBullet"/>
        <w:spacing w:after="80"/>
        <w:ind w:left="432" w:hanging="259"/>
      </w:pPr>
      <w:r>
        <w:t>По разумному запросу предоставить документы и сведения, подтверждающие выполнение поручения, без раскрытия секретов и данных других клиентов.</w:t>
      </w:r>
    </w:p>
    <w:p>
      <w:pPr>
        <w:pStyle w:val="ListBullet"/>
        <w:spacing w:after="80"/>
        <w:ind w:left="432" w:hanging="259"/>
      </w:pPr>
      <w:r>
        <w:t>Содействовать Заказчику в исполнении запросов субъектов, оценке инцидента и выполнении обязательных уведомлений в пределах имеющейся информации и технических возможностей.</w:t>
      </w:r>
    </w:p>
    <w:p>
      <w:pPr>
        <w:pStyle w:val="ListBullet"/>
        <w:spacing w:after="80"/>
        <w:ind w:left="432" w:hanging="259"/>
      </w:pPr>
      <w:r>
        <w:t>О ставшем известным инциденте сообщить на контакт Заказчика без неоправданной задержки, указав доступные сведения о характере, данных, субъектах, последствиях и принятых мерах; последующую информацию передавать по мере уточнения.</w:t>
      </w:r>
    </w:p>
    <w:p>
      <w:pPr>
        <w:pStyle w:val="ListBullet"/>
        <w:spacing w:after="80"/>
        <w:ind w:left="432" w:hanging="259"/>
      </w:pPr>
      <w:r>
        <w:t>После прекращения по выбору Заказчика вернуть доступный экспорт или удалить данные и копии, кроме хранения, обязательного по закону или необходимого для защиты прав Стороны.</w:t>
      </w:r>
    </w:p>
    <w:p>
      <w:pPr>
        <w:keepNext/>
        <w:spacing w:after="100"/>
      </w:pPr>
      <w:r>
        <w:rPr>
          <w:rFonts w:ascii="Calibri" w:hAnsi="Calibri" w:eastAsia="Calibri"/>
          <w:b/>
          <w:i w:val="0"/>
          <w:smallCaps/>
          <w:color w:val="2E5BFF"/>
          <w:sz w:val="17"/>
        </w:rPr>
        <w:t>ОБЯЗАННОСТИ ЗАКАЗЧИКА</w:t>
      </w:r>
    </w:p>
    <w:p>
      <w:pPr>
        <w:spacing w:after="200"/>
      </w:pPr>
      <w:r>
        <w:t>Определить законные цели, основания, категории данных, сроки, получателей и тексты уведомлений; не поручать незаконную обработку; обеспечить актуальность политики и согласий; оценить допустимость мессенджеров и трансграничной передачи; своевременно сообщать об изменении инструкции и отвечать субъектам и государственным органам как оператор.</w:t>
      </w:r>
    </w:p>
    <w:p>
      <w:r>
        <w:rPr>
          <w:b/>
        </w:rPr>
        <w:t xml:space="preserve">Контакт Заказчика по данным и инцидентам: </w:t>
      </w:r>
      <w:r>
        <w:t>____________________________________________________________</w:t>
      </w:r>
    </w:p>
    <w:p>
      <w:r>
        <w:br w:type="page"/>
      </w:r>
    </w:p>
    <w:p>
      <w:pPr>
        <w:spacing w:after="80"/>
        <w:jc w:val="right"/>
      </w:pPr>
      <w:r>
        <w:rPr>
          <w:rFonts w:ascii="Calibri" w:hAnsi="Calibri" w:eastAsia="Calibri"/>
          <w:b/>
          <w:i w:val="0"/>
          <w:color w:val="2E5BFF"/>
          <w:sz w:val="17"/>
        </w:rPr>
        <w:t>ПРИЛОЖЕНИЕ № 4</w:t>
      </w:r>
    </w:p>
    <w:p>
      <w:pPr>
        <w:pStyle w:val="Title"/>
        <w:jc w:val="left"/>
      </w:pPr>
      <w:r>
        <w:t>Акт сдачи-приёмки</w:t>
      </w:r>
    </w:p>
    <w:p>
      <w:pPr>
        <w:spacing w:after="280"/>
      </w:pPr>
      <w:r>
        <w:rPr>
          <w:rFonts w:ascii="Calibri" w:hAnsi="Calibri" w:eastAsia="Calibri"/>
          <w:b w:val="0"/>
          <w:i w:val="0"/>
          <w:color w:val="5E6762"/>
          <w:sz w:val="18"/>
        </w:rPr>
        <w:t>к договору № ____ от «___» __________ 2026 г.</w:t>
      </w:r>
    </w:p>
    <w:p>
      <w:pPr>
        <w:spacing w:after="320"/>
      </w:pPr>
      <w:r>
        <w:t>г. Москва                                                    «___» __________ 2026 г.</w:t>
      </w:r>
    </w:p>
    <w:p>
      <w:pPr>
        <w:spacing w:after="200"/>
      </w:pPr>
      <w:r>
        <w:t>ООО «Аирхоп» («Исполнитель») и __________________________________ («Заказчик») составили настоящий Акт к договору № ____ от «___» __________ 2026 г. и Заказу № ____ о следующем: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Результат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Сайт: _______________________________________________________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Адрес / домен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____________________________________________________________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Дата передачи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«___» __________ 2026 г.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Переданные доступы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____________________________________________________________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Переданные файлы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____________________________________________________________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Стоимость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________________ рублей; оплачено: ____________________________</w:t>
            </w:r>
          </w:p>
        </w:tc>
      </w:tr>
      <w:tr>
        <w:tc>
          <w:tcPr>
            <w:tcW w:type="dxa" w:w="2592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EAF0FF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i w:val="0"/>
                <w:color w:val="183B7A"/>
                <w:sz w:val="17"/>
              </w:rPr>
              <w:t>Права</w:t>
            </w:r>
          </w:p>
        </w:tc>
        <w:tc>
          <w:tcPr>
            <w:tcW w:type="dxa" w:w="676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Переходят в объёме раздела 9 договора после полной оплаты.</w:t>
            </w:r>
          </w:p>
        </w:tc>
      </w:tr>
    </w:tbl>
    <w:p>
      <w:pPr>
        <w:spacing w:before="280"/>
      </w:pPr>
      <w:r>
        <w:rPr>
          <w:b/>
        </w:rPr>
        <w:t>Отметка о приёмке:</w:t>
      </w:r>
      <w:r>
        <w:t xml:space="preserve">  □ принято без замечаний   □ принято с замечаниями в приложенном перечне   □ не принято по мотивированным причинам</w:t>
      </w:r>
    </w:p>
    <w:p>
      <w:pPr>
        <w:spacing w:after="360"/>
      </w:pPr>
      <w:r>
        <w:t>Стороны подтверждают, что результат передан в указанном объёме. Подписание Акта не прекращает гарантийные обязательства и обязательства по сопровождению, если они применимы.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68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ИСПОЛНИТЕЛЬ</w:t>
              <w:br/>
              <w:br/>
              <w:t>______________ / И.И. Иванов /</w:t>
            </w:r>
          </w:p>
        </w:tc>
        <w:tc>
          <w:tcPr>
            <w:tcW w:type="dxa" w:w="468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D8DEDA"/>
              <w:bottom w:val="single" w:sz="5" w:color="D8DEDA"/>
              <w:start w:val="single" w:sz="5" w:color="D8DEDA"/>
              <w:end w:val="single" w:sz="5" w:color="D8DEDA"/>
            </w:tcBorders>
            <w:shd w:fill="F2F4F7"/>
          </w:tcPr>
          <w:p>
            <w:pPr>
              <w:spacing w:after="20"/>
            </w:pPr>
            <w:r>
              <w:rPr>
                <w:rFonts w:ascii="Calibri" w:hAnsi="Calibri" w:eastAsia="Calibri"/>
                <w:b w:val="0"/>
                <w:i w:val="0"/>
                <w:color w:val="202421"/>
                <w:sz w:val="17"/>
              </w:rPr>
              <w:t>ЗАКАЗЧИК</w:t>
              <w:br/>
              <w:br/>
              <w:t>______________ / __________________ 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181" w:right="1296" w:bottom="1037" w:left="1296" w:header="475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7776"/>
      <w:gridCol w:w="1872"/>
    </w:tblGrid>
    <w:tr>
      <w:tc>
        <w:tcPr>
          <w:tcW w:type="dxa" w:w="4824"/>
          <w:tcBorders>
            <w:top w:val="single" w:sz="5" w:color="D8DEDA"/>
          </w:tcBorders>
          <w:tcMar>
            <w:top w:w="60" w:type="dxa"/>
            <w:start w:w="0" w:type="dxa"/>
            <w:bottom w:w="0" w:type="dxa"/>
            <w:end w:w="0" w:type="dxa"/>
          </w:tcMar>
        </w:tcPr>
        <w:p>
          <w:r>
            <w:rPr>
              <w:rFonts w:ascii="Calibri" w:hAnsi="Calibri" w:eastAsia="Calibri"/>
              <w:b w:val="0"/>
              <w:i w:val="0"/>
              <w:color w:val="5E6762"/>
              <w:sz w:val="15"/>
            </w:rPr>
            <w:t>ООО «Аирхоп» · договор на сайт и сопровождение · версия 01.08.2026</w:t>
          </w:r>
        </w:p>
      </w:tc>
      <w:tc>
        <w:tcPr>
          <w:tcW w:type="dxa" w:w="4824"/>
          <w:tcBorders>
            <w:top w:val="single" w:sz="5" w:color="D8DEDA"/>
          </w:tcBorders>
          <w:tcMar>
            <w:top w:w="6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 w:eastAsia="Calibri"/>
              <w:b w:val="0"/>
              <w:i w:val="0"/>
              <w:color w:val="5E6762"/>
              <w:sz w:val="15"/>
            </w:rPr>
            <w:t xml:space="preserve">стр.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Calibri" w:hAnsi="Calibri" w:eastAsia="Calibri"/>
              <w:b w:val="0"/>
              <w:i w:val="0"/>
              <w:color w:val="5E6762"/>
              <w:sz w:val="15"/>
            </w:rPr>
            <w:t xml:space="preserve"> из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7776"/>
      <w:gridCol w:w="1872"/>
    </w:tblGrid>
    <w:tr>
      <w:tc>
        <w:tcPr>
          <w:tcW w:type="dxa" w:w="4824"/>
          <w:tcBorders>
            <w:top w:val="single" w:sz="5" w:color="D8DEDA"/>
          </w:tcBorders>
          <w:tcMar>
            <w:top w:w="60" w:type="dxa"/>
            <w:start w:w="0" w:type="dxa"/>
            <w:bottom w:w="0" w:type="dxa"/>
            <w:end w:w="0" w:type="dxa"/>
          </w:tcMar>
        </w:tcPr>
        <w:p>
          <w:r>
            <w:rPr>
              <w:rFonts w:ascii="Calibri" w:hAnsi="Calibri" w:eastAsia="Calibri"/>
              <w:b w:val="0"/>
              <w:i w:val="0"/>
              <w:color w:val="5E6762"/>
              <w:sz w:val="15"/>
            </w:rPr>
            <w:t>ООО «Аирхоп» · договор на сайт и сопровождение · версия 01.08.2026</w:t>
          </w:r>
        </w:p>
      </w:tc>
      <w:tc>
        <w:tcPr>
          <w:tcW w:type="dxa" w:w="4824"/>
          <w:tcBorders>
            <w:top w:val="single" w:sz="5" w:color="D8DEDA"/>
          </w:tcBorders>
          <w:tcMar>
            <w:top w:w="6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 w:eastAsia="Calibri"/>
              <w:b w:val="0"/>
              <w:i w:val="0"/>
              <w:color w:val="5E6762"/>
              <w:sz w:val="15"/>
            </w:rPr>
            <w:t xml:space="preserve">стр.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Calibri" w:hAnsi="Calibri" w:eastAsia="Calibri"/>
              <w:b w:val="0"/>
              <w:i w:val="0"/>
              <w:color w:val="5E6762"/>
              <w:sz w:val="15"/>
            </w:rPr>
            <w:t xml:space="preserve"> из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96"/>
      <w:gridCol w:w="4752"/>
    </w:tblGrid>
    <w:tr>
      <w:tc>
        <w:tcPr>
          <w:tcW w:type="dxa" w:w="4896"/>
          <w:tcBorders>
            <w:bottom w:val="single" w:sz="10" w:color="2E5BFF"/>
          </w:tcBorders>
          <w:tcMar>
            <w:top w:w="0" w:type="dxa"/>
            <w:start w:w="0" w:type="dxa"/>
            <w:bottom w:w="55" w:type="dxa"/>
            <w:end w:w="0" w:type="dxa"/>
          </w:tcMar>
        </w:tcPr>
        <w:p>
          <w:r>
            <w:rPr>
              <w:rFonts w:ascii="Calibri" w:hAnsi="Calibri" w:eastAsia="Calibri"/>
              <w:b/>
              <w:i w:val="0"/>
              <w:color w:val="2E5BFF"/>
              <w:sz w:val="17"/>
            </w:rPr>
            <w:t>AIRHOP  /  ДОГОВОР</w:t>
          </w:r>
        </w:p>
      </w:tc>
      <w:tc>
        <w:tcPr>
          <w:tcW w:type="dxa" w:w="4752"/>
          <w:tcBorders>
            <w:bottom w:val="single" w:sz="10" w:color="2E5BFF"/>
          </w:tcBorders>
          <w:tcMar>
            <w:top w:w="0" w:type="dxa"/>
            <w:start w:w="0" w:type="dxa"/>
            <w:bottom w:w="55" w:type="dxa"/>
            <w:end w:w="0" w:type="dxa"/>
          </w:tcMar>
        </w:tcPr>
        <w:p>
          <w:pPr>
            <w:jc w:val="right"/>
          </w:pPr>
          <w:r>
            <w:rPr>
              <w:rFonts w:ascii="Calibri" w:hAnsi="Calibri" w:eastAsia="Calibri"/>
              <w:b/>
              <w:i w:val="0"/>
              <w:color w:val="9A341E"/>
              <w:sz w:val="15"/>
            </w:rPr>
            <w:t>ВЫМЫШЛЕННЫЕ РЕКВИЗИТЫ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96"/>
      <w:gridCol w:w="4752"/>
    </w:tblGrid>
    <w:tr>
      <w:tc>
        <w:tcPr>
          <w:tcW w:type="dxa" w:w="4896"/>
          <w:tcBorders>
            <w:bottom w:val="single" w:sz="10" w:color="2E5BFF"/>
          </w:tcBorders>
          <w:tcMar>
            <w:top w:w="0" w:type="dxa"/>
            <w:start w:w="0" w:type="dxa"/>
            <w:bottom w:w="55" w:type="dxa"/>
            <w:end w:w="0" w:type="dxa"/>
          </w:tcMar>
        </w:tcPr>
        <w:p>
          <w:r>
            <w:rPr>
              <w:rFonts w:ascii="Calibri" w:hAnsi="Calibri" w:eastAsia="Calibri"/>
              <w:b/>
              <w:i w:val="0"/>
              <w:color w:val="2E5BFF"/>
              <w:sz w:val="17"/>
            </w:rPr>
            <w:t>AIRHOP  /  ДОГОВОР</w:t>
          </w:r>
        </w:p>
      </w:tc>
      <w:tc>
        <w:tcPr>
          <w:tcW w:type="dxa" w:w="4752"/>
          <w:tcBorders>
            <w:bottom w:val="single" w:sz="10" w:color="2E5BFF"/>
          </w:tcBorders>
          <w:tcMar>
            <w:top w:w="0" w:type="dxa"/>
            <w:start w:w="0" w:type="dxa"/>
            <w:bottom w:w="55" w:type="dxa"/>
            <w:end w:w="0" w:type="dxa"/>
          </w:tcMar>
        </w:tcPr>
        <w:p>
          <w:pPr>
            <w:jc w:val="right"/>
          </w:pPr>
          <w:r>
            <w:rPr>
              <w:rFonts w:ascii="Calibri" w:hAnsi="Calibri" w:eastAsia="Calibri"/>
              <w:b/>
              <w:i w:val="0"/>
              <w:color w:val="9A341E"/>
              <w:sz w:val="15"/>
            </w:rPr>
            <w:t>ВЫМЫШЛЕННЫЕ РЕКВИЗИТЫ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multilevel"/>
    <w:lvl w:ilvl="0">
      <w:start w:val="1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0">
    <w:abstractNumId w:val="9"/>
  </w:num>
  <w:abstractNum w:abstractNumId="10">
    <w:multiLevelType w:val="multilevel"/>
    <w:lvl w:ilvl="0">
      <w:start w:val="2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1">
    <w:abstractNumId w:val="10"/>
  </w:num>
  <w:abstractNum w:abstractNumId="11">
    <w:multiLevelType w:val="multilevel"/>
    <w:lvl w:ilvl="0">
      <w:start w:val="3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2">
    <w:abstractNumId w:val="11"/>
  </w:num>
  <w:abstractNum w:abstractNumId="12">
    <w:multiLevelType w:val="multilevel"/>
    <w:lvl w:ilvl="0">
      <w:start w:val="4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3">
    <w:abstractNumId w:val="12"/>
  </w:num>
  <w:abstractNum w:abstractNumId="13">
    <w:multiLevelType w:val="multilevel"/>
    <w:lvl w:ilvl="0">
      <w:start w:val="5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4">
    <w:abstractNumId w:val="13"/>
  </w:num>
  <w:abstractNum w:abstractNumId="14">
    <w:multiLevelType w:val="multilevel"/>
    <w:lvl w:ilvl="0">
      <w:start w:val="6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5">
    <w:abstractNumId w:val="14"/>
  </w:num>
  <w:abstractNum w:abstractNumId="15">
    <w:multiLevelType w:val="multilevel"/>
    <w:lvl w:ilvl="0">
      <w:start w:val="7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6">
    <w:abstractNumId w:val="15"/>
  </w:num>
  <w:abstractNum w:abstractNumId="16">
    <w:multiLevelType w:val="multilevel"/>
    <w:lvl w:ilvl="0">
      <w:start w:val="8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7">
    <w:abstractNumId w:val="16"/>
  </w:num>
  <w:abstractNum w:abstractNumId="17">
    <w:multiLevelType w:val="multilevel"/>
    <w:lvl w:ilvl="0">
      <w:start w:val="9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8">
    <w:abstractNumId w:val="17"/>
  </w:num>
  <w:abstractNum w:abstractNumId="18">
    <w:multiLevelType w:val="multilevel"/>
    <w:lvl w:ilvl="0">
      <w:start w:val="10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19">
    <w:abstractNumId w:val="18"/>
  </w:num>
  <w:abstractNum w:abstractNumId="19">
    <w:multiLevelType w:val="multilevel"/>
    <w:lvl w:ilvl="0">
      <w:start w:val="11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0">
    <w:abstractNumId w:val="19"/>
  </w:num>
  <w:abstractNum w:abstractNumId="20">
    <w:multiLevelType w:val="multilevel"/>
    <w:lvl w:ilvl="0">
      <w:start w:val="12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1">
    <w:abstractNumId w:val="20"/>
  </w:num>
  <w:abstractNum w:abstractNumId="21">
    <w:multiLevelType w:val="multilevel"/>
    <w:lvl w:ilvl="0">
      <w:start w:val="13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2">
    <w:abstractNumId w:val="21"/>
  </w:num>
  <w:abstractNum w:abstractNumId="22">
    <w:multiLevelType w:val="multilevel"/>
    <w:lvl w:ilvl="0">
      <w:start w:val="14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3">
    <w:abstractNumId w:val="22"/>
  </w:num>
  <w:abstractNum w:abstractNumId="23">
    <w:multiLevelType w:val="multilevel"/>
    <w:lvl w:ilvl="0">
      <w:start w:val="15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4">
    <w:abstractNumId w:val="23"/>
  </w:num>
  <w:abstractNum w:abstractNumId="24">
    <w:multiLevelType w:val="multilevel"/>
    <w:lvl w:ilvl="0">
      <w:start w:val="16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5">
    <w:abstractNumId w:val="24"/>
  </w:num>
  <w:abstractNum w:abstractNumId="25">
    <w:multiLevelType w:val="multilevel"/>
    <w:lvl w:ilvl="0">
      <w:start w:val="17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6">
    <w:abstractNumId w:val="25"/>
  </w:num>
  <w:abstractNum w:abstractNumId="26">
    <w:multiLevelType w:val="multilevel"/>
    <w:lvl w:ilvl="0">
      <w:start w:val="18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7">
    <w:abstractNumId w:val="26"/>
  </w:num>
  <w:abstractNum w:abstractNumId="27">
    <w:multiLevelType w:val="multilevel"/>
    <w:lvl w:ilvl="0">
      <w:start w:val="19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8">
    <w:abstractNumId w:val="27"/>
  </w:num>
  <w:abstractNum w:abstractNumId="28">
    <w:multiLevelType w:val="multilevel"/>
    <w:lvl w:ilvl="0">
      <w:start w:val="20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29">
    <w:abstractNumId w:val="28"/>
  </w:num>
  <w:abstractNum w:abstractNumId="29">
    <w:multiLevelType w:val="multilevel"/>
    <w:lvl w:ilvl="0">
      <w:start w:val="21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30">
    <w:abstractNumId w:val="29"/>
  </w:num>
  <w:abstractNum w:abstractNumId="30">
    <w:multiLevelType w:val="multilevel"/>
    <w:lvl w:ilvl="0">
      <w:start w:val="22"/>
      <w:numFmt w:val="decimal"/>
      <w:lvlText w:val="%1."/>
      <w:suff w:val="space"/>
      <w:pStyle w:val="Heading1"/>
      <w:pPr>
        <w:tabs>
          <w:tab w:val="num" w:pos="430"/>
        </w:tabs>
        <w:ind w:left="430" w:hanging="430"/>
      </w:pPr>
    </w:lvl>
    <w:lvl w:ilvl="1">
      <w:start w:val="1"/>
      <w:numFmt w:val="decimal"/>
      <w:lvlText w:val="%1.%2."/>
      <w:suff w:val="space"/>
      <w:pPr>
        <w:tabs>
          <w:tab w:val="num" w:pos="650"/>
        </w:tabs>
        <w:ind w:left="650" w:hanging="650"/>
      </w:pPr>
    </w:lvl>
    <w:lvl w:ilvl="2">
      <w:start w:val="1"/>
      <w:numFmt w:val="decimal"/>
      <w:lvlText w:val="%1.%2.%3."/>
      <w:suff w:val="space"/>
      <w:pPr>
        <w:tabs>
          <w:tab w:val="num" w:pos="1340"/>
        </w:tabs>
        <w:ind w:left="1340" w:hanging="980"/>
      </w:pPr>
    </w:lvl>
  </w:abstract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  <w:jc w:val="left"/>
    </w:pPr>
    <w:rPr>
      <w:rFonts w:ascii="Calibri" w:hAnsi="Calibri" w:eastAsia="Calibri"/>
      <w:color w:val="20242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 w:eastAsia="Calibri"/>
      <w:color w:val="5E6762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 w:eastAsia="Calibri"/>
      <w:color w:val="5E676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5BF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183B7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Calibri" w:hAnsi="Calibri" w:eastAsia="Calibri"/>
      <w:b/>
      <w:color w:val="202421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создание, передачу прав и техническое сопровождение сайта</dc:title>
  <dc:subject>Шаблон B2B-договора ООО «Аирхоп»</dc:subject>
  <dc:creator>ООО «Аирхоп» (вымышленный вариант)</dc:creator>
  <cp:keywords>сайт, договор, сопровождение, оферта, персональные данные</cp:keywords>
  <dc:description>Реквизиты вымышлены. Требуется юридическая проверка до использования.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